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5：电子与信息工程学院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示波器购置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（联系人：陈老师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 xml:space="preserve">  13536367810）</w:t>
      </w:r>
    </w:p>
    <w:tbl>
      <w:tblPr>
        <w:tblStyle w:val="46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示波器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DS1074Z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四通道，模拟带宽70M,，实时采样率1G Sa/s，存储深度12Mpts，波形捕获率30,000个波形每秒，具有USB</w:t>
            </w:r>
            <w:r>
              <w:rPr>
                <w:rStyle w:val="48"/>
                <w:sz w:val="24"/>
                <w:szCs w:val="24"/>
                <w:lang w:val="en-US" w:eastAsia="zh-CN" w:bidi="ar"/>
              </w:rPr>
              <w:t>,Host&amp;Device,LAN(LXI-C),AUX接口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28000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3B87326C"/>
    <w:rsid w:val="4A20113D"/>
    <w:rsid w:val="4AE01A8B"/>
    <w:rsid w:val="5E1C151E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11"/>
    <w:basedOn w:val="1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2018-01-10T03:20:40Z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