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3：海洋与气象学院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超纯水系统购置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</w:t>
      </w:r>
      <w:r>
        <w:rPr>
          <w:rFonts w:hint="eastAsia" w:asciiTheme="majorHAnsi" w:hAnsiTheme="majorHAnsi" w:eastAsiaTheme="majorEastAsia" w:cstheme="majorBidi"/>
          <w:sz w:val="22"/>
          <w:szCs w:val="22"/>
          <w:lang w:eastAsia="zh-CN"/>
        </w:rPr>
        <w:t>朱老师</w:t>
      </w:r>
      <w:bookmarkStart w:id="0" w:name="_GoBack"/>
      <w:bookmarkEnd w:id="0"/>
      <w:r>
        <w:rPr>
          <w:rFonts w:hint="eastAsia" w:asciiTheme="majorHAnsi" w:hAnsiTheme="majorHAnsi" w:eastAsiaTheme="majorEastAsia" w:cstheme="majorBidi"/>
          <w:sz w:val="22"/>
          <w:szCs w:val="22"/>
          <w:lang w:eastAsia="zh-CN"/>
        </w:rPr>
        <w:t xml:space="preserve"> </w:t>
      </w:r>
      <w:r>
        <w:rPr>
          <w:rFonts w:hint="eastAsia" w:asciiTheme="majorHAnsi" w:hAnsiTheme="majorHAnsi" w:eastAsiaTheme="majorEastAsia" w:cstheme="majorBidi"/>
          <w:sz w:val="22"/>
          <w:szCs w:val="22"/>
          <w:lang w:val="en-US" w:eastAsia="zh-CN"/>
        </w:rPr>
        <w:t>13822519006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6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u w:val="none"/>
                <w:lang w:val="zh-TW" w:eastAsia="zh-TW"/>
              </w:rPr>
            </w:pPr>
            <w:r>
              <w:rPr>
                <w:u w:val="none"/>
                <w:lang w:val="zh-TW" w:eastAsia="zh-TW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u w:val="none"/>
              </w:rPr>
              <w:t>超纯水系统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cs="Times New Roman"/>
                <w:u w:val="none"/>
                <w:lang w:val="zh-TW" w:eastAsia="zh-TW"/>
              </w:rPr>
              <w:t>MILLIP</w:t>
            </w:r>
            <w:r>
              <w:rPr>
                <w:rFonts w:hint="eastAsia" w:cs="Times New Roman"/>
                <w:u w:val="none"/>
                <w:lang w:val="zh-TW" w:eastAsia="zh-TW"/>
              </w:rPr>
              <w:t>ORE(密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理博）</w:t>
            </w:r>
            <w:r>
              <w:rPr>
                <w:rFonts w:cs="Times New Roman"/>
                <w:u w:val="none"/>
                <w:lang w:val="zh-TW" w:eastAsia="zh-TW"/>
              </w:rPr>
              <w:t>Milli-Q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cs="Times New Roman"/>
                <w:u w:val="none"/>
                <w:lang w:val="zh-TW" w:eastAsia="zh-TW"/>
              </w:rPr>
              <w:t>Reference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超纯水器：Milli-Q Reference超纯水机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1. ★该系统由纯水作进水，连续生产超纯水,产水水质：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1.1 电阻率: 18.2 MΩ.cm@25℃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1.2 总有机碳（TOC）: ＜5ppb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1.3 流速： 逐滴至2L/min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1.4 直径大于0.22μm的颗粒物数量: ＜1/ml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1.5 微生物: ＜0.01cfu/ml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2. ▲系统内置高精度电阻率仪。电阻池灵敏常数: 0.01cm-1，温度灵敏度0.1℃，符合ASTM D1125-95(2009)的要求。套筒式同轴、流通式无死角设计，确保电极常数的稳定性及真实性。电导率仪材料为316L不锈钢，检测异常时自动报警。中标后可提供原厂可追溯至NTS校验证书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3. 全封闭管路设计，系统在非取水期间定期自动循环，保持水质新鲜，无需消毒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4. 液晶显示屏支持中文操作界面，提供三级登录管理系统菜单，包括正常使用、维护、系统管理；实时显示出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水关键信息包括水质、过水量、系统状态和警告。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5. 纯化流路：纯化路径必须经过大容量两柱一体超纯化前柱，双波长紫外灯，超纯化后柱，电阻率检测器，终端过滤器。彩页上必须附有流路图。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6. ★可选择安装多种专用终端精制器,保证水质满足多种实验室应用要求。包括生产无颗粒无细菌的0.22微米的微孔过滤器；热源和核酸酶污染物过滤器；内分泌干扰污染物（EDs）过滤器；内置C18反向硅胶的超低有机物型过滤器，产水有机物＜1ppb；超低挥发性有机物型过滤器，产水VOCs＜1ppb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7. 灵活取水臂取水回路管路长度750mm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8. ▲内置系统软件，具备“互联网思维”的实验室纯水系统，开通此功能即可通过TCP/IP协议连入网络，智能监控，远程诊断，分级管理，电子签名等功能均在电脑前轻松完成。具备无线联入网络功能。</w:t>
            </w:r>
          </w:p>
          <w:p>
            <w:pPr>
              <w:pStyle w:val="47"/>
              <w:rPr>
                <w:rFonts w:hint="eastAsia"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9. FID电子标识技术可自动识别并保存预处理柱的货号和序列号信息，确保最佳的可追溯性，同时防止耗材未正确装入。主机屏幕提前15天提示用户更换耗材；配置要求:超纯水主机一台，带芯片初纯化柱一个，带芯片精纯化柱一个，0.22um终端过滤器一个。</w:t>
            </w:r>
          </w:p>
          <w:p>
            <w:pPr>
              <w:pStyle w:val="47"/>
              <w:widowControl/>
              <w:jc w:val="left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★10. 必须有厂家授权函及售后服务承诺函</w:t>
            </w:r>
            <w:r>
              <w:rPr>
                <w:rFonts w:hint="eastAsia" w:cs="Times New Roman"/>
                <w:u w:val="none"/>
                <w:lang w:val="zh-TW"/>
              </w:rPr>
              <w:t>。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u w:val="none"/>
                <w:lang w:val="zh-TW" w:eastAsia="zh-TW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cs="Times New Roman"/>
                <w:u w:val="none"/>
                <w:lang w:val="zh-TW"/>
              </w:rPr>
              <w:t>95000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u w:val="none"/>
                <w:lang w:val="zh-TW" w:eastAsia="zh-TW"/>
              </w:rPr>
            </w:pPr>
            <w:r>
              <w:rPr>
                <w:u w:val="none"/>
                <w:lang w:val="zh-TW" w:eastAsia="zh-TW"/>
              </w:rPr>
              <w:t>1</w:t>
            </w:r>
            <w:r>
              <w:rPr>
                <w:rFonts w:hint="eastAsia" w:ascii="宋体" w:hAnsi="宋体" w:eastAsia="宋体" w:cs="宋体"/>
                <w:u w:val="none"/>
                <w:lang w:val="zh-TW"/>
              </w:rPr>
              <w:t>套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20" w:lineRule="exac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zh-TW" w:eastAsia="zh-CN"/>
              </w:rPr>
              <w:t>95000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  <w:lang w:eastAsia="zh-CN"/>
              </w:rPr>
              <w:t>9</w:t>
            </w: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  <w:t>5</w:t>
            </w: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  <w:lang w:eastAsia="zh-CN"/>
              </w:rPr>
              <w:t>000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7"/>
        <w:widowControl/>
        <w:ind w:firstLine="840" w:firstLineChars="4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注：以上报价均含税费、运费、安装费</w:t>
      </w: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275434"/>
    <w:rsid w:val="086C2185"/>
    <w:rsid w:val="0EB645D1"/>
    <w:rsid w:val="0EFC153A"/>
    <w:rsid w:val="15812212"/>
    <w:rsid w:val="1B680F8A"/>
    <w:rsid w:val="4A20113D"/>
    <w:rsid w:val="4AE01A8B"/>
    <w:rsid w:val="52246574"/>
    <w:rsid w:val="578D289F"/>
    <w:rsid w:val="5E1C151E"/>
    <w:rsid w:val="619769BF"/>
    <w:rsid w:val="6202525B"/>
    <w:rsid w:val="758A3A3B"/>
    <w:rsid w:val="76A35D7C"/>
    <w:rsid w:val="7E7259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2018-01-10T03:16:24Z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