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Verdana" w:hAnsi="Verdana" w:eastAsia="宋体" w:cs="宋体"/>
          <w:b/>
          <w:kern w:val="0"/>
          <w:sz w:val="32"/>
          <w:szCs w:val="32"/>
          <w:highlight w:val="none"/>
        </w:rPr>
      </w:pPr>
      <w:r>
        <w:rPr>
          <w:rFonts w:hint="eastAsia" w:ascii="Verdana" w:hAnsi="Verdana" w:eastAsia="宋体" w:cs="宋体"/>
          <w:b/>
          <w:kern w:val="0"/>
          <w:sz w:val="32"/>
          <w:szCs w:val="32"/>
          <w:highlight w:val="none"/>
        </w:rPr>
        <w:t>关于加快建设高水平本科教育，全面提高人才培养能力</w:t>
      </w:r>
    </w:p>
    <w:p>
      <w:pPr>
        <w:widowControl/>
        <w:spacing w:line="480" w:lineRule="exact"/>
        <w:jc w:val="center"/>
        <w:rPr>
          <w:rFonts w:hint="eastAsia" w:ascii="Verdana" w:hAnsi="Verdana" w:eastAsia="宋体" w:cs="宋体"/>
          <w:b/>
          <w:kern w:val="0"/>
          <w:sz w:val="32"/>
          <w:szCs w:val="32"/>
          <w:highlight w:val="none"/>
          <w:lang w:val="en-US" w:eastAsia="zh-CN"/>
        </w:rPr>
      </w:pPr>
      <w:r>
        <w:rPr>
          <w:rFonts w:hint="eastAsia" w:ascii="Verdana" w:hAnsi="Verdana" w:eastAsia="宋体" w:cs="宋体"/>
          <w:b/>
          <w:kern w:val="0"/>
          <w:sz w:val="32"/>
          <w:szCs w:val="32"/>
          <w:highlight w:val="none"/>
        </w:rPr>
        <w:t>的实施方案</w:t>
      </w:r>
      <w:r>
        <w:rPr>
          <w:rFonts w:hint="eastAsia" w:ascii="Verdana" w:hAnsi="Verdana" w:eastAsia="宋体" w:cs="宋体"/>
          <w:b/>
          <w:kern w:val="0"/>
          <w:sz w:val="32"/>
          <w:szCs w:val="32"/>
          <w:highlight w:val="none"/>
          <w:lang w:eastAsia="zh-CN"/>
        </w:rPr>
        <w:t>（征求意见稿）</w:t>
      </w:r>
    </w:p>
    <w:p>
      <w:pPr>
        <w:spacing w:line="480" w:lineRule="exact"/>
        <w:ind w:firstLine="560" w:firstLineChars="200"/>
        <w:rPr>
          <w:rFonts w:ascii="宋体" w:hAnsi="宋体" w:eastAsia="宋体"/>
          <w:sz w:val="28"/>
          <w:szCs w:val="28"/>
          <w:highlight w:val="none"/>
        </w:rPr>
      </w:pPr>
    </w:p>
    <w:p>
      <w:pPr>
        <w:spacing w:line="48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为深入学习贯彻习近平新时代中国特色社会主义思想和党的十九大精神，落实全国本科教育工作会议精神，聚焦本科教育教学，加大投入，深化改革，加强建设，强化管理，全面提高我校本科人才培养能力，加快形成特色鲜明的高水平海洋人才培养体系，培养德智体美全面发展的社会主义建设者和接班人，根据</w:t>
      </w:r>
      <w:r>
        <w:rPr>
          <w:rFonts w:hint="eastAsia" w:ascii="宋体" w:hAnsi="宋体" w:eastAsia="宋体"/>
          <w:b w:val="0"/>
          <w:sz w:val="28"/>
          <w:szCs w:val="28"/>
          <w:highlight w:val="none"/>
          <w:lang w:eastAsia="zh-CN"/>
        </w:rPr>
        <w:t>《</w:t>
      </w:r>
      <w:r>
        <w:rPr>
          <w:rFonts w:hint="eastAsia" w:ascii="宋体" w:hAnsi="宋体" w:eastAsia="宋体"/>
          <w:sz w:val="28"/>
          <w:szCs w:val="28"/>
          <w:highlight w:val="none"/>
        </w:rPr>
        <w:t>广东省教育厅转发教育部关于狠抓新时代全国高等学校本科教育工作会议精神落实的通知</w:t>
      </w:r>
      <w:r>
        <w:rPr>
          <w:rFonts w:hint="eastAsia" w:ascii="宋体" w:hAnsi="宋体" w:eastAsia="宋体"/>
          <w:b w:val="0"/>
          <w:sz w:val="28"/>
          <w:szCs w:val="28"/>
          <w:highlight w:val="none"/>
          <w:lang w:eastAsia="zh-CN"/>
        </w:rPr>
        <w:t>》</w:t>
      </w:r>
      <w:r>
        <w:rPr>
          <w:rFonts w:hint="eastAsia" w:ascii="宋体" w:hAnsi="宋体" w:eastAsia="宋体"/>
          <w:sz w:val="28"/>
          <w:szCs w:val="28"/>
          <w:highlight w:val="none"/>
        </w:rPr>
        <w:t>（粤教高函〔2018〕143号）</w:t>
      </w:r>
      <w:r>
        <w:rPr>
          <w:rFonts w:hint="eastAsia" w:ascii="宋体" w:hAnsi="宋体" w:eastAsia="宋体"/>
          <w:sz w:val="28"/>
          <w:szCs w:val="28"/>
          <w:highlight w:val="none"/>
          <w:lang w:eastAsia="zh-CN"/>
        </w:rPr>
        <w:t>精神和要求</w:t>
      </w:r>
      <w:r>
        <w:rPr>
          <w:rFonts w:hint="eastAsia" w:ascii="宋体" w:hAnsi="宋体" w:eastAsia="宋体"/>
          <w:sz w:val="28"/>
          <w:szCs w:val="28"/>
          <w:highlight w:val="none"/>
        </w:rPr>
        <w:t>,结合我校实际，就</w:t>
      </w:r>
      <w:bookmarkStart w:id="0" w:name="_GoBack"/>
      <w:bookmarkEnd w:id="0"/>
      <w:r>
        <w:rPr>
          <w:rFonts w:hint="eastAsia" w:ascii="宋体" w:hAnsi="宋体" w:eastAsia="宋体"/>
          <w:sz w:val="28"/>
          <w:szCs w:val="28"/>
          <w:highlight w:val="none"/>
        </w:rPr>
        <w:t>加快我校建设高水平本科教育，全面提高人才培养能力制定如下实施方案。</w:t>
      </w:r>
    </w:p>
    <w:p>
      <w:pPr>
        <w:spacing w:line="480" w:lineRule="exact"/>
        <w:ind w:firstLine="562" w:firstLineChars="200"/>
        <w:rPr>
          <w:rFonts w:ascii="宋体" w:hAnsi="宋体" w:eastAsia="宋体"/>
          <w:b/>
          <w:sz w:val="28"/>
          <w:szCs w:val="28"/>
          <w:highlight w:val="none"/>
        </w:rPr>
      </w:pPr>
      <w:r>
        <w:rPr>
          <w:rFonts w:hint="eastAsia" w:ascii="宋体" w:hAnsi="宋体" w:eastAsia="宋体"/>
          <w:b/>
          <w:sz w:val="28"/>
          <w:szCs w:val="28"/>
          <w:highlight w:val="none"/>
        </w:rPr>
        <w:t>一、指导思想</w:t>
      </w:r>
    </w:p>
    <w:p>
      <w:pPr>
        <w:spacing w:line="480" w:lineRule="exact"/>
        <w:ind w:firstLine="560" w:firstLineChars="200"/>
        <w:rPr>
          <w:rFonts w:ascii="宋体" w:hAnsi="宋体" w:eastAsia="宋体"/>
          <w:b/>
          <w:sz w:val="28"/>
          <w:szCs w:val="28"/>
          <w:highlight w:val="none"/>
        </w:rPr>
      </w:pPr>
      <w:r>
        <w:rPr>
          <w:rFonts w:hint="eastAsia" w:ascii="宋体" w:hAnsi="宋体" w:eastAsia="宋体"/>
          <w:sz w:val="28"/>
          <w:szCs w:val="28"/>
          <w:highlight w:val="none"/>
        </w:rPr>
        <w:t>以习近平新时代中国特色社会主义思想为指导，全面贯彻落实党的十九大精神，全面贯彻党的教育方针，坚持党对教育事业的全面领导，坚持把立德树人培养社会主义建设者和接班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准确把握高等教育基本规律和人才成长规律，以“回归常识、回归本分，回归初心、回归梦想”为基本遵循，聚焦本科教育，加大投入，加强建设，深化改革，创新机制，加快建设高水平海洋人才培养体系，全面提升我校海洋人才培养能力；坚持全面提升人才培养质量，铸就信念执着、品德优良、知识丰富、本领过硬，具有国际视野和社会责任感，富有自主学习能力、实践能力和创新精神，富有“三能”优秀品质的高素质专门人才与行业精英，为实现海洋强国战略，促进区域经济社会发展，实现中华民族伟大复兴的中国梦提供强有力的人才保障。</w:t>
      </w:r>
    </w:p>
    <w:p>
      <w:pPr>
        <w:spacing w:line="480" w:lineRule="exact"/>
        <w:ind w:firstLine="562" w:firstLineChars="200"/>
        <w:rPr>
          <w:rFonts w:ascii="宋体" w:hAnsi="宋体" w:eastAsia="宋体"/>
          <w:b/>
          <w:sz w:val="28"/>
          <w:szCs w:val="28"/>
          <w:highlight w:val="none"/>
        </w:rPr>
      </w:pPr>
      <w:r>
        <w:rPr>
          <w:rFonts w:hint="eastAsia" w:ascii="宋体" w:hAnsi="宋体" w:eastAsia="宋体"/>
          <w:b/>
          <w:sz w:val="28"/>
          <w:szCs w:val="28"/>
          <w:highlight w:val="none"/>
        </w:rPr>
        <w:t>二、建设目标</w:t>
      </w:r>
    </w:p>
    <w:p>
      <w:pPr>
        <w:spacing w:line="48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经过5年的努力，“四个回归”全面落实，初步形成高水平的海洋人才培养休系，积极创建创新创业教育改革示范校，建设一批一流本科专业、一批优质课程和一批优秀教学团队，引领带动我校专业课程建设水平和人才培养能力全面提升。到2035年，全面建设成为海洋和水产特色鲜明、多学科协调发展的高水平海洋大学，形成涉海类专业体系完善，海洋水产类专业优势突出，应用性和区域性特色鲜明，在国内外具有较大影响力的高水平本科教育，为建设海洋强国和广东省实现“四个走在全国前列”，当好“两个重要窗口”提供有力支撑。</w:t>
      </w:r>
    </w:p>
    <w:p>
      <w:pPr>
        <w:adjustRightInd w:val="0"/>
        <w:snapToGrid w:val="0"/>
        <w:spacing w:line="480" w:lineRule="exact"/>
        <w:ind w:left="0" w:firstLine="582" w:firstLineChars="200"/>
        <w:rPr>
          <w:rFonts w:ascii="仿宋_GB2312" w:hAnsi="微软雅黑" w:cs="宋体"/>
          <w:b/>
          <w:bCs/>
          <w:sz w:val="29"/>
          <w:szCs w:val="29"/>
          <w:highlight w:val="none"/>
        </w:rPr>
      </w:pPr>
      <w:r>
        <w:rPr>
          <w:rFonts w:hint="eastAsia" w:ascii="仿宋_GB2312" w:hAnsi="微软雅黑" w:cs="宋体"/>
          <w:b/>
          <w:bCs/>
          <w:sz w:val="29"/>
          <w:szCs w:val="29"/>
          <w:highlight w:val="none"/>
        </w:rPr>
        <w:t>三、重点内容和落实举措</w:t>
      </w:r>
    </w:p>
    <w:p>
      <w:pPr>
        <w:spacing w:line="480" w:lineRule="exact"/>
        <w:ind w:left="0" w:firstLine="582" w:firstLineChars="200"/>
        <w:rPr>
          <w:rFonts w:ascii="仿宋_GB2312" w:hAnsi="微软雅黑" w:cs="宋体"/>
          <w:b/>
          <w:bCs/>
          <w:sz w:val="29"/>
          <w:szCs w:val="29"/>
          <w:highlight w:val="none"/>
        </w:rPr>
      </w:pPr>
      <w:r>
        <w:rPr>
          <w:rFonts w:hint="eastAsia" w:ascii="仿宋_GB2312" w:hAnsi="微软雅黑" w:cs="宋体"/>
          <w:b/>
          <w:bCs/>
          <w:sz w:val="29"/>
          <w:szCs w:val="29"/>
          <w:highlight w:val="none"/>
        </w:rPr>
        <w:t>（一）把思想政治教育贯穿高水平本科教育全过程</w:t>
      </w:r>
    </w:p>
    <w:p>
      <w:pPr>
        <w:spacing w:line="480" w:lineRule="exact"/>
        <w:ind w:firstLine="562" w:firstLineChars="200"/>
        <w:rPr>
          <w:rFonts w:ascii="仿宋_GB2312" w:hAnsi="微软雅黑" w:cs="宋体"/>
          <w:sz w:val="29"/>
          <w:szCs w:val="29"/>
          <w:highlight w:val="none"/>
        </w:rPr>
      </w:pPr>
      <w:r>
        <w:rPr>
          <w:rFonts w:hint="eastAsia" w:ascii="宋体" w:hAnsi="宋体" w:eastAsia="宋体"/>
          <w:b/>
          <w:sz w:val="28"/>
          <w:szCs w:val="28"/>
          <w:highlight w:val="none"/>
        </w:rPr>
        <w:t>1</w:t>
      </w:r>
      <w:r>
        <w:rPr>
          <w:rFonts w:ascii="宋体" w:hAnsi="宋体" w:eastAsia="宋体"/>
          <w:b/>
          <w:sz w:val="28"/>
          <w:szCs w:val="28"/>
          <w:highlight w:val="none"/>
        </w:rPr>
        <w:t>.</w:t>
      </w:r>
      <w:r>
        <w:rPr>
          <w:rFonts w:hint="eastAsia" w:ascii="宋体" w:hAnsi="宋体" w:eastAsia="宋体"/>
          <w:b/>
          <w:sz w:val="28"/>
          <w:szCs w:val="28"/>
          <w:highlight w:val="none"/>
        </w:rPr>
        <w:t>坚持立德树人，德育为先。</w:t>
      </w:r>
      <w:r>
        <w:rPr>
          <w:rFonts w:hint="eastAsia" w:ascii="宋体" w:hAnsi="宋体" w:eastAsia="宋体"/>
          <w:sz w:val="28"/>
          <w:szCs w:val="28"/>
          <w:highlight w:val="none"/>
        </w:rPr>
        <w:t>要完善师德教育和考核机制，把立德树人的成效作为检验学校一切工作的根本标准，把师德师风作为教师评价和职务晋升及岗位聘任的第一标准。要</w:t>
      </w:r>
      <w:r>
        <w:rPr>
          <w:rFonts w:hint="eastAsia" w:ascii="仿宋_GB2312" w:hAnsi="微软雅黑" w:cs="宋体"/>
          <w:sz w:val="29"/>
          <w:szCs w:val="29"/>
          <w:highlight w:val="none"/>
        </w:rPr>
        <w:t>坚持将学术道德、职业道德、社会公德和教书育人成效作为师德师风考核主要内容，健全涵盖包括教学治学态度、工作责任心、爱岗敬业精神、履行教师教学职责、执行教学和学术规范以及遵守学校教学规章制度在内的师德考核制度，引导广大教师以德立身、以德立学、以德施教、以德育德，坚持教书与育人相统一、言传与身教相统一、潜心问道与关注社会相统一、学术自由与学术规范相统一，争做有理想信念、有道德情操、有扎实学识、有仁爱之心“四有”好教师，全心全意做学生锤炼品格、学习知识、创新思维、奉献祖国的引路人；建立教师个人信用记录，完善诚信承诺和失信惩戒机制，推动师德建设常态化长效化，引导广大教师教书育人和自我修养相结合。</w:t>
      </w:r>
    </w:p>
    <w:p>
      <w:pPr>
        <w:spacing w:line="480" w:lineRule="exact"/>
        <w:ind w:left="1" w:firstLine="562" w:firstLineChars="200"/>
        <w:rPr>
          <w:rFonts w:ascii="宋体" w:hAnsi="宋体" w:eastAsia="宋体"/>
          <w:sz w:val="28"/>
          <w:szCs w:val="28"/>
          <w:highlight w:val="none"/>
        </w:rPr>
      </w:pPr>
      <w:r>
        <w:rPr>
          <w:rFonts w:hint="eastAsia" w:ascii="宋体" w:hAnsi="宋体" w:eastAsia="宋体"/>
          <w:b/>
          <w:sz w:val="28"/>
          <w:szCs w:val="28"/>
          <w:highlight w:val="none"/>
        </w:rPr>
        <w:t>2.提升思政工作质量。</w:t>
      </w:r>
      <w:r>
        <w:rPr>
          <w:rFonts w:hint="eastAsia" w:ascii="宋体" w:hAnsi="宋体" w:eastAsia="宋体"/>
          <w:sz w:val="28"/>
          <w:szCs w:val="28"/>
          <w:highlight w:val="none"/>
        </w:rPr>
        <w:t>加强党对教学工作的领导，加强高校思想政治工作体系建设，一体化构建涵盖课程、科研、实践、文化、网络、心理、管理、服务、资助、组织等环节的育人体系，把思想政治工作贯穿教育教学全过程</w:t>
      </w:r>
      <w:r>
        <w:rPr>
          <w:rFonts w:hint="eastAsia" w:ascii="-webkit-standard" w:hAnsi="-webkit-standard"/>
          <w:color w:val="000000"/>
          <w:sz w:val="27"/>
          <w:szCs w:val="27"/>
          <w:highlight w:val="none"/>
        </w:rPr>
        <w:t>；要</w:t>
      </w:r>
      <w:r>
        <w:rPr>
          <w:rFonts w:hint="eastAsia" w:ascii="宋体" w:hAnsi="宋体" w:eastAsia="宋体"/>
          <w:sz w:val="28"/>
          <w:szCs w:val="28"/>
          <w:highlight w:val="none"/>
        </w:rPr>
        <w:t>深入实施高校思想政治工作质量提升工程，进一步加强和改进思想政治理论课教学，加强精品资源共享课程和优秀教学团队建设，推进“思政课程改革”和“课程思政改革”；</w:t>
      </w:r>
      <w:r>
        <w:rPr>
          <w:rFonts w:hint="eastAsia" w:ascii="仿宋_GB2312" w:hAnsi="微软雅黑" w:cs="宋体"/>
          <w:sz w:val="29"/>
          <w:szCs w:val="29"/>
          <w:highlight w:val="none"/>
        </w:rPr>
        <w:t>要督促各单位认真履行意识形态党委主体责任制，牢牢掌握意识形态工作领导权主动权话语权；要优化教学内容，</w:t>
      </w:r>
      <w:r>
        <w:rPr>
          <w:rFonts w:hint="eastAsia" w:ascii="宋体" w:hAnsi="宋体" w:eastAsia="宋体"/>
          <w:sz w:val="28"/>
          <w:szCs w:val="28"/>
          <w:highlight w:val="none"/>
        </w:rPr>
        <w:t>大力推进习近平新时代中国特色社会主义思想进课堂、进教材、进头脑，不断增强学生的道路自信、理论自信、制度自信和文化自信；要完善教学环节，以“六课堂”</w:t>
      </w:r>
      <w:r>
        <w:rPr>
          <w:rFonts w:hint="eastAsia"/>
          <w:sz w:val="30"/>
          <w:szCs w:val="30"/>
          <w:highlight w:val="none"/>
        </w:rPr>
        <w:t>建设和改革为载体，发挥课堂教学主渠道作用，</w:t>
      </w:r>
      <w:r>
        <w:rPr>
          <w:rFonts w:hint="eastAsia" w:ascii="宋体" w:hAnsi="宋体" w:eastAsia="宋体"/>
          <w:sz w:val="28"/>
          <w:szCs w:val="28"/>
          <w:highlight w:val="none"/>
        </w:rPr>
        <w:t>把思想政治教育、创新创业教育、人文素质教育和科学精神教育融入本科教育教学全过程、各领域和各环节；要修订教学大纲等基本文件，将思想政治教育、创新创业教育和素质教育的要求全面融入课程教学质量标准之中，落实于课堂教学、实践教学和文化育人活动之中；要加强教师教育管理和培训，促进教师将社会主义核心价值观教育融入课程教学全过程；</w:t>
      </w:r>
      <w:r>
        <w:rPr>
          <w:rFonts w:hint="eastAsia" w:ascii="仿宋_GB2312" w:hAnsi="微软雅黑" w:cs="宋体"/>
          <w:sz w:val="29"/>
          <w:szCs w:val="29"/>
          <w:highlight w:val="none"/>
        </w:rPr>
        <w:t>要完善教师各类课程教学评价管理办法，落实课程思政和课程育人的主体责任；要以人才培养过程的关键环节为重点，构建全员、全过程、全方位“三全育人”机制。</w:t>
      </w:r>
    </w:p>
    <w:p>
      <w:pPr>
        <w:spacing w:line="480" w:lineRule="exact"/>
        <w:ind w:left="1" w:firstLine="582" w:firstLineChars="200"/>
        <w:rPr>
          <w:rFonts w:ascii="仿宋_GB2312" w:hAnsi="微软雅黑" w:cs="宋体"/>
          <w:b/>
          <w:bCs/>
          <w:sz w:val="29"/>
          <w:szCs w:val="29"/>
          <w:highlight w:val="none"/>
        </w:rPr>
      </w:pPr>
      <w:r>
        <w:rPr>
          <w:rFonts w:hint="eastAsia" w:ascii="仿宋_GB2312" w:hAnsi="微软雅黑" w:cs="宋体"/>
          <w:b/>
          <w:bCs/>
          <w:sz w:val="29"/>
          <w:szCs w:val="29"/>
          <w:highlight w:val="none"/>
        </w:rPr>
        <w:t>（二）深化教学管理改革，建立教师“教得好”和学生“学得好”机制</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3.深化教学管理制度改革。</w:t>
      </w:r>
      <w:r>
        <w:rPr>
          <w:rFonts w:hint="eastAsia" w:ascii="仿宋_GB2312" w:hAnsi="微软雅黑" w:cs="宋体"/>
          <w:sz w:val="29"/>
          <w:szCs w:val="29"/>
          <w:highlight w:val="none"/>
        </w:rPr>
        <w:t>要完善课堂教学管理和教学业绩评价制度，严格教师任教资格审核，落实课堂教学管理责任，引导教师树立“政治意识、大局意识、核心意识，看齐意识”，自觉坚守“政治底线、道德底线、法律底线和纪律底线”，认真履行立德树人和教书育人职责。要完善课程设置和教学内容审查机制，坚决淘汰“水课”、打造“金课”，合理提升课程学习和考核的挑战度、增加课程难度、拓展课程深度，切实发挥课程教学在传授知识、增强本领和提升素质的作用。要结合办学实际进一步优化课程设置，修订课程教学大纲，切实把全国教育大会和本科教育工作会议的精神、要求落实到学校人才培养各项工作、各个环节中。严格课程考核管理，严格执行命题、阅卷、监考、巡考等考试制度，严肃处理违纪作弊行为，严格依照规定开展毕业资格和学位资格审核，坚持取消“清考”制度。修订完善本科毕业生论文〈设计〉管理制度，加强论文（设计）选题、开题、评阅和答辩关键环节管理，严肃处理抄袭、伪造、篡改、代写、买卖毕业论文等违纪作弊行为，确保本科毕业生论文（设计〉质量。</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4.加强教材建设，规范教材使用管理。</w:t>
      </w:r>
      <w:r>
        <w:rPr>
          <w:rFonts w:hint="eastAsia" w:ascii="仿宋_GB2312" w:hAnsi="微软雅黑" w:cs="宋体"/>
          <w:sz w:val="29"/>
          <w:szCs w:val="29"/>
          <w:highlight w:val="none"/>
        </w:rPr>
        <w:t>要严格执行国家教材选用审查制度和学校教材选用管理办法，推进马工程重点教材、国家规划教材和省部级规划教材进课堂；要完善教材使用审核制度，建立责任追究制度，严禁未经学校批准，未纳入国家和省部级规划而擅自编写的教材进课堂。要设立教材建设专项经费，支持我校专业造诣高、教学经验丰富、教学水平高的专家学者主编或参编特色教材。要依托各类教改项目，支持教师开展教材研究，进一步增强教材科学性、先进性、针对性和实效性。</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5.完善管理服务育人机制</w:t>
      </w:r>
      <w:r>
        <w:rPr>
          <w:rFonts w:hint="eastAsia" w:ascii="仿宋_GB2312" w:hAnsi="微软雅黑" w:cs="宋体"/>
          <w:sz w:val="29"/>
          <w:szCs w:val="29"/>
          <w:highlight w:val="none"/>
        </w:rPr>
        <w:t>。要按照管理育人、服务育人的理念和要求，系统梳理、修订完善与在校大学生学习、生活等相关的各项管理制度，形成依法依规、宽严相济、科学管用的学生管理制度体系；要完善以促进学生学业发展以及自主学习能力、实践能力、应用能力和创新创业能力提升为导向的学生学业评价、综合素质测评机制、学生干部选拔和优秀（先进）集体和个人表彰机制，激励学生勤奋学习，勇于实践，敢于创新，乐于奉献；要严格依法依规加强学籍管理和纪律教育，大力表彰优秀学生，及时依法依规对违纪违规者进行处理，建设优良学风；要按照上级要求探索建立我校大学生诚信档案制度，推动与国家诚信体系建设相衔接；要建立激励专任教师深度参与学生教育、管理与服务工作的机制，发挥教师对学生成长和发展的引领作用；要完善院系党组织、辅导员和班主任工作机制，加强对学生班团活动和党组织活动的指导，发挥课内学习、社团活动、社会实践活动和创新实践活动的综合育人功能；要加强学生学业发展支持中心和心理咨询服务中心建设，完善服务指导学生学业发展和健康成长的工作机制；要完善校院二级学生就业创业与职业规划发展工作机制，加强学生专业思想教育，支持学生开展“互联网+”创新创业实践活动，培养学生创新创业精神，增强学生对专业学习的兴趣和信心；要建立反映大学生全面发展、个性发展的学生信息管理服务平台，为大学生升学、就业和创业提供服务。要完善志愿者服务和劳动锻炼活动考核机制，增强学生社会责任感和家国情怀；要加强军事训练和军事理论课教学，提升学生国家安全意识和维护国家安全能力；要把生态文明教育融入课程教学、校园文化和社会实践之中，增强学生生态文明意识；要完善机制，加强《思想政治理论课社会调查与社会实践》教学和课程考核，增强学生践行社会主义核心价值观的自觉性、积极性和主动性。</w:t>
      </w:r>
    </w:p>
    <w:p>
      <w:pPr>
        <w:widowControl/>
        <w:spacing w:line="480" w:lineRule="exact"/>
        <w:ind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6.加强教师队伍建设，提升教师教学能力。</w:t>
      </w:r>
      <w:r>
        <w:rPr>
          <w:rFonts w:hint="eastAsia" w:ascii="仿宋_GB2312" w:hAnsi="微软雅黑" w:cs="宋体"/>
          <w:sz w:val="29"/>
          <w:szCs w:val="29"/>
          <w:highlight w:val="none"/>
        </w:rPr>
        <w:t>要进一步完善教师岗位聘任和考核制度，落实国家思想政治素质和业务能力双重考察制度；要健全把骨干教师培养成党员，把党员教师培养成教学、科研、管理骨干的“双培养”机制；要严格教师职业准入，将新入职教师岗前培训和教育实习作为认定教育教学能力和取得高等学校教师资格的必备条件；要对照国家本科教学质量标准要求，统筹本科教育和研究生教育需要，按一级学科或专业大类配置教师资源，尽快补齐教师队伍短板；要进一步加大师资引进和培养力度，提升教师的教学能力和学术创新能力；要加强院系教研室等学习共同体建设，建立完善教师成长传帮带机制；要完善教师教学能力入职培训、在岗培训、境内外专题培训机制，建立并完善基于教师教学支持的新理念、新标准的培训体系；要完善专业负责人和课程负责人制度，发挥专业负责人和课程组负责人在教学建设与改革中的引领作用；要完善院系政治和教学业务学习工作机制，加强理想信念教育和习近平新时代中国特色社会主义思想教育。</w:t>
      </w:r>
    </w:p>
    <w:p>
      <w:pPr>
        <w:widowControl/>
        <w:spacing w:line="480" w:lineRule="exact"/>
        <w:ind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7.改革教师评价与管理体系，建立教学工作激励与约束机制。</w:t>
      </w:r>
      <w:r>
        <w:rPr>
          <w:rFonts w:hint="eastAsia" w:ascii="仿宋_GB2312" w:hAnsi="微软雅黑" w:cs="宋体"/>
          <w:sz w:val="29"/>
          <w:szCs w:val="29"/>
          <w:highlight w:val="none"/>
        </w:rPr>
        <w:t>深入推进高等学校教师考核评价制度改革，突出教育教学业绩和师德考核，将教授为本科生上课作为基本制度。</w:t>
      </w:r>
      <w:r>
        <w:rPr>
          <w:rFonts w:hint="eastAsia" w:ascii="仿宋_GB2312" w:hAnsi="微软雅黑" w:cs="宋体"/>
          <w:bCs/>
          <w:sz w:val="29"/>
          <w:szCs w:val="29"/>
          <w:highlight w:val="none"/>
        </w:rPr>
        <w:t>要完善各级教学组织及岗位管理制度，改革聘任</w:t>
      </w:r>
      <w:r>
        <w:rPr>
          <w:rFonts w:hint="eastAsia" w:ascii="仿宋_GB2312" w:hAnsi="微软雅黑" w:cs="宋体"/>
          <w:sz w:val="29"/>
          <w:szCs w:val="29"/>
          <w:highlight w:val="none"/>
        </w:rPr>
        <w:t>与晋升制度，实现人才管理由身份管理向岗位管理、业绩管理的转变；要完善教师分类管理和分类评价办法，明确教学型、科研型和教学科研型教师的教学和科研岗位职责和最低任职条件，将课内教学、课外创新实践、专业实践和社会实践活动指导工作纳入教师教学岗位职责、教学业绩和任职条件之中；要完善教师学术研究、科技创新和社会服务的考核机制，将教师教学研究（含教学建设与改革，编写教材）取得的成果、论文和专著纳入教师科研学术创新和社会服务考核体系，促进教师将科研成果转化为教学内容，促进教师在科研实践中培养学生创新能力；要加强对教师育人能力和实践能力的评价与考核，促进教师积极主动的实施管理育人、实践育人和服务育人；要制定教师本科教育教学业绩考核管理办法，加强教师教育教学业绩考核，建立教师教育教学业绩与职称评审和岗位聘任联动机制，在教师专业技术职务晋升中施行本科教育教学工作考评一票否决制；要建立完善适应教学岗位特点的学校内部激励机制，对专职从事教学的人员，适当提高基础性绩效工资在绩效工资中的比重，加大对教学型名师的岗位激励力度。</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（三）加强专业建设与综合改革，大力推进一流本科专业建设</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8.实施一流专业建设计划。</w:t>
      </w:r>
      <w:r>
        <w:rPr>
          <w:rFonts w:hint="eastAsia" w:ascii="仿宋_GB2312" w:hAnsi="微软雅黑" w:cs="宋体"/>
          <w:sz w:val="29"/>
          <w:szCs w:val="29"/>
          <w:highlight w:val="none"/>
        </w:rPr>
        <w:t>一是实施本科教学质量工程，培育和建设一批省部级和国家一流专业，引领支撑高水平本科教育；二是依托优势特色专业加快培育省部级重点实验室和实习基地建设，加大薄弱专业校内实验室和实训基地建设；三是落实专业建设责任，督促专业首席教师（专业负责人）组织开展专题调研，制定改革方案，加强基本教学文件建设，推进专业综合改革，提升专业建设质量。</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9</w:t>
      </w:r>
      <w:r>
        <w:rPr>
          <w:rFonts w:ascii="仿宋_GB2312" w:hAnsi="微软雅黑" w:cs="宋体"/>
          <w:b/>
          <w:sz w:val="29"/>
          <w:szCs w:val="29"/>
          <w:highlight w:val="none"/>
        </w:rPr>
        <w:t>.</w:t>
      </w:r>
      <w:r>
        <w:rPr>
          <w:rFonts w:hint="eastAsia" w:ascii="仿宋_GB2312" w:hAnsi="微软雅黑" w:cs="宋体"/>
          <w:b/>
          <w:sz w:val="29"/>
          <w:szCs w:val="29"/>
          <w:highlight w:val="none"/>
        </w:rPr>
        <w:t>深化人才培养模式改革。</w:t>
      </w:r>
      <w:r>
        <w:rPr>
          <w:rFonts w:hint="eastAsia" w:ascii="仿宋_GB2312" w:hAnsi="微软雅黑" w:cs="宋体"/>
          <w:sz w:val="29"/>
          <w:szCs w:val="29"/>
          <w:highlight w:val="none"/>
        </w:rPr>
        <w:t>一是对接国家科学技术进步和我校重点学科发展对拔尖创新人才的需求，以提高学生学术创新能力和培育优质研究生生源为目标，以先进的教育理念为引领，以先进的教育教学方法为重点，以教学管理机制改革为保障，举办“双百工程”实验班，设立专项经费，开展教学改革试验，探索拔尖创新人才培养新路径。二是对接涉海行业产业对复合应用型人才培养的需求，参照国家卓越农林人才培养计划、卓越工程师培养计划、卓越法律人才培养计划和卓越新闻人才培养计划的要求，立项支持相关专业与行业企业共建产业学院，合作举办实验班，开展复合应用型人才培养改革；支持相关专业与行业企业深度合作，探索复合应用型人才培养的路径。三是按照国家、社会和行业发展对“一专多能”应用型人才的需求和我校实施学分制改革的实际，完善基于学分制的“辅修专业、双学位”制度，完善支持辅修专业、双学位课程教学的激励机制，优化复合型人才培养环境。</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10.大力加强专业内涵建设，提高专业建设质量。</w:t>
      </w:r>
      <w:r>
        <w:rPr>
          <w:rFonts w:hint="eastAsia" w:ascii="仿宋_GB2312" w:hAnsi="微软雅黑" w:cs="宋体"/>
          <w:sz w:val="29"/>
          <w:szCs w:val="29"/>
          <w:highlight w:val="none"/>
        </w:rPr>
        <w:t>立项支持各专业在开展专业建设与改革专题调研基础上，根据社会发展、学科发展和生产发展对人才培养的需求，对照国家本科专业类质量标准要求和专业认证质量要求，进一步明确人才培养目标，及时调整专业人才培养方案，科学编制课程教学大纲，进一步细化专业培养目标、课程教学目标、课程教学内容、教学方式方法和课程考核要求；组织开展多种形式教学检查，督促各单位严格执行培养方案和课程教学大纲，选聘合格教师授课，认真组织各类教学活动，高质量完成授课、指导实验（设计）、组织讨论、布置和批改作业（报告），答疑等教学任务；加强教学检查，督促教师严格课堂教学管理，教育引导学生遵守学校规章制度，按时参加各类教学活动，及时完成作业（论文、报告）。</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11.完善优化专业结构和布局的机制。</w:t>
      </w:r>
    </w:p>
    <w:p>
      <w:pPr>
        <w:spacing w:line="480" w:lineRule="exact"/>
        <w:ind w:left="1" w:firstLine="580" w:firstLineChars="200"/>
        <w:rPr>
          <w:rFonts w:ascii="仿宋_GB2312" w:hAnsi="微软雅黑" w:cs="宋体"/>
          <w:sz w:val="29"/>
          <w:szCs w:val="29"/>
          <w:highlight w:val="none"/>
        </w:rPr>
      </w:pPr>
      <w:r>
        <w:rPr>
          <w:rFonts w:hint="eastAsia" w:ascii="仿宋_GB2312" w:hAnsi="微软雅黑" w:cs="宋体"/>
          <w:sz w:val="29"/>
          <w:szCs w:val="29"/>
          <w:highlight w:val="none"/>
        </w:rPr>
        <w:t>认真贯彻专业建设与管理办法，促进相关专业向海发展，构建支撑海洋产业和区域经济发展的专业体系；优化专业布局顶层设计，建立专业认证和评估结果与专业增设和撤销相挂钩的专业动态调整机制，及时调整与发展需求不相适应的专业，积极稳妥的适度增加支撑战略性新兴产业发展的专业；要持续深化高校本科专业供给侧改革，依托重点学科和本科教学质量工程，建设和培育特色优势专业集群，提升服务海洋产业和区域经济社会发展能力。</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（四）加强课程建设，深化课程教学改革，推进一流课程建设</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12.加强教育教学信息化建设，深化课堂教学改革。</w:t>
      </w:r>
      <w:r>
        <w:rPr>
          <w:rFonts w:hint="eastAsia" w:ascii="仿宋_GB2312" w:hAnsi="微软雅黑" w:cs="宋体"/>
          <w:sz w:val="29"/>
          <w:szCs w:val="29"/>
          <w:highlight w:val="none"/>
        </w:rPr>
        <w:t>实施数字化校园建设工程，推动形成“互联网+高等教育”新形态。进一步完善数据中心机房基础设施和安全保障设施，提高多媒体课室和网络运维服务能力，实现校园无线全覆盖；加快网络课程资源建设与管理平台建设，为教师创建精品资源共享课程并将其用于课程教学提供支撑，</w:t>
      </w:r>
      <w:r>
        <w:rPr>
          <w:rFonts w:hint="eastAsia" w:ascii="仿宋_GB2312" w:hAnsi="微软雅黑" w:cs="宋体" w:eastAsiaTheme="minorEastAsia"/>
          <w:sz w:val="29"/>
          <w:szCs w:val="29"/>
          <w:highlight w:val="none"/>
        </w:rPr>
        <w:t>有序有效推进在线开放课程和虚拟仿真实验教学项目的建设、应用及管理。以提升教师信息技术应用能力为着力点，</w:t>
      </w:r>
      <w:r>
        <w:rPr>
          <w:rFonts w:hint="eastAsia" w:ascii="仿宋_GB2312" w:hAnsi="微软雅黑" w:cs="宋体"/>
          <w:sz w:val="29"/>
          <w:szCs w:val="29"/>
          <w:highlight w:val="none"/>
        </w:rPr>
        <w:t>完善</w:t>
      </w:r>
      <w:r>
        <w:rPr>
          <w:rFonts w:hint="eastAsia" w:ascii="仿宋_GB2312" w:hAnsi="微软雅黑" w:cs="宋体" w:eastAsiaTheme="minorEastAsia"/>
          <w:sz w:val="29"/>
          <w:szCs w:val="29"/>
          <w:highlight w:val="none"/>
        </w:rPr>
        <w:t>教学激励和管理办法，加快用信息技术改造传统教学、提高教学水平的进程</w:t>
      </w:r>
      <w:r>
        <w:rPr>
          <w:rFonts w:hint="eastAsia" w:ascii="仿宋_GB2312" w:hAnsi="微软雅黑" w:cs="宋体"/>
          <w:sz w:val="29"/>
          <w:szCs w:val="29"/>
          <w:highlight w:val="none"/>
        </w:rPr>
        <w:t>；扩大电子校务应用，完善学生信息化管理服务平台，建设和应用考试管理平台，引进和完善学分制教务管理系统，提升教学信息化管理水平；改造多媒体教室和实验室，建设智慧教室、智慧实验室、智慧校园，大力推动“互联网+”教学改革，提高我校教育信息化水平。</w:t>
      </w:r>
    </w:p>
    <w:p>
      <w:pPr>
        <w:adjustRightInd w:val="0"/>
        <w:snapToGrid w:val="0"/>
        <w:spacing w:line="480" w:lineRule="exact"/>
        <w:ind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13.大力推进精品资源共享课程和慕课建设与应用。</w:t>
      </w:r>
    </w:p>
    <w:p>
      <w:pPr>
        <w:spacing w:line="480" w:lineRule="exact"/>
        <w:ind w:left="1" w:firstLine="580" w:firstLineChars="200"/>
        <w:rPr>
          <w:rFonts w:ascii="仿宋_GB2312" w:hAnsi="微软雅黑" w:cs="宋体"/>
          <w:sz w:val="29"/>
          <w:szCs w:val="29"/>
          <w:highlight w:val="none"/>
        </w:rPr>
      </w:pPr>
      <w:r>
        <w:rPr>
          <w:rFonts w:hint="eastAsia" w:ascii="仿宋_GB2312" w:hAnsi="微软雅黑" w:cs="宋体"/>
          <w:sz w:val="29"/>
          <w:szCs w:val="29"/>
          <w:highlight w:val="none"/>
        </w:rPr>
        <w:t>完善课程建设激励机制，将优质网络资源课程建设成果纳入教师职称评审和岗位聘任条件之中；立项支持我校通识教育课程和专业核心课程建设为网络在线课程和精品资源课程；完善精品资源共享课程和网络在线课程的年度绩效管理和持续资助机制；支持教师制作一批微课，参加教育部和相关专业教学指导委员会组织的微课竞赛；建立激励与约束机制，积极推广小班化教学、混合式教学和翻转课堂教学改革；支持教师以OBE、CDIO等先进教学理念为指导，以网络课程资源为载体，创新研究式教学模式，引入案例式、研究式、探讨式和讨论式方法组织教学；组织优秀教师教学公开示范课和全校教师授课竞赛，加大对教师教学技能的培训力度，提升教师课堂教学设计、组织和管理水平；</w:t>
      </w:r>
      <w:r>
        <w:rPr>
          <w:rFonts w:hint="eastAsia" w:ascii="仿宋_GB2312" w:hAnsi="微软雅黑" w:cs="宋体" w:eastAsiaTheme="minorEastAsia"/>
          <w:sz w:val="29"/>
          <w:szCs w:val="29"/>
          <w:highlight w:val="none"/>
        </w:rPr>
        <w:t>要完善在线开放课程学分认定制度，推动学分互认，推进优质资源共建共享，</w:t>
      </w:r>
      <w:r>
        <w:rPr>
          <w:rFonts w:hint="eastAsia" w:ascii="仿宋_GB2312" w:hAnsi="微软雅黑" w:cs="宋体"/>
          <w:sz w:val="29"/>
          <w:szCs w:val="29"/>
          <w:highlight w:val="none"/>
        </w:rPr>
        <w:t>支持院系组织完善课堂教学效果评价和学生学业评价制度，激发教师“教得好”和学生“学得好”积极性。</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（五）聚焦本科人才培养，构建协同育人新机制</w:t>
      </w:r>
    </w:p>
    <w:p>
      <w:pPr>
        <w:spacing w:line="480" w:lineRule="exact"/>
        <w:ind w:firstLine="582" w:firstLineChars="200"/>
        <w:rPr>
          <w:rFonts w:ascii="宋体" w:hAnsi="宋体" w:cs="宋体"/>
          <w:sz w:val="18"/>
          <w:szCs w:val="18"/>
          <w:highlight w:val="none"/>
        </w:rPr>
      </w:pPr>
      <w:r>
        <w:rPr>
          <w:rFonts w:ascii="仿宋_GB2312" w:hAnsi="微软雅黑" w:cs="宋体"/>
          <w:b/>
          <w:sz w:val="29"/>
          <w:szCs w:val="29"/>
          <w:highlight w:val="none"/>
        </w:rPr>
        <w:t>1</w:t>
      </w:r>
      <w:r>
        <w:rPr>
          <w:rFonts w:hint="eastAsia" w:ascii="仿宋_GB2312" w:hAnsi="微软雅黑" w:cs="宋体"/>
          <w:b/>
          <w:sz w:val="29"/>
          <w:szCs w:val="29"/>
          <w:highlight w:val="none"/>
        </w:rPr>
        <w:t>4</w:t>
      </w:r>
      <w:r>
        <w:rPr>
          <w:rFonts w:ascii="仿宋_GB2312" w:hAnsi="微软雅黑" w:cs="宋体"/>
          <w:b/>
          <w:sz w:val="29"/>
          <w:szCs w:val="29"/>
          <w:highlight w:val="none"/>
        </w:rPr>
        <w:t>.</w:t>
      </w:r>
      <w:r>
        <w:rPr>
          <w:rFonts w:hint="eastAsia" w:ascii="仿宋_GB2312" w:hAnsi="微软雅黑" w:cs="宋体"/>
          <w:b/>
          <w:sz w:val="29"/>
          <w:szCs w:val="29"/>
          <w:highlight w:val="none"/>
        </w:rPr>
        <w:t>完善校企协同实践育人机制。</w:t>
      </w:r>
      <w:r>
        <w:rPr>
          <w:rFonts w:hint="eastAsia" w:ascii="仿宋_GB2312" w:hAnsi="微软雅黑" w:cs="宋体"/>
          <w:sz w:val="29"/>
          <w:szCs w:val="29"/>
          <w:highlight w:val="none"/>
        </w:rPr>
        <w:t>一是完善产业学院和协同育人平台工作机制，支持相关单位与校外企事业单位建立产教深度融合协同发展机制，完善学校教师与企业技术管理骨干双向交流，将社会优质教育资源转化为教育教学内容机制，二是依据国家本科教学专业类质量标准和专业认证的要求，立项支持相关单位与企业共建实验室、实习基地和校外实践教学基地，择优推荐建设省级以上实验教学示范中心、实践教学基地、协同与人平台和虚拟仿真实验教学项目，不断改善实践教学条件；三是要大力加强校内外实验教学资源整合，构建功能集约、资源共享、开放充分、运作高效的公共实验教学平台；四是加强实验技术队伍建设，完善岗位职责和绩效考核制度，加大实验室骨干培训力度，支持开展实验技术改革，增强服务本科教学能力，调动服务本科教学积极性和主动性。</w:t>
      </w:r>
    </w:p>
    <w:p>
      <w:pPr>
        <w:spacing w:line="480" w:lineRule="exact"/>
        <w:ind w:firstLine="582" w:firstLineChars="200"/>
        <w:rPr>
          <w:rFonts w:ascii="仿宋_GB2312" w:hAnsi="微软雅黑" w:cs="宋体"/>
          <w:sz w:val="29"/>
          <w:szCs w:val="29"/>
          <w:highlight w:val="none"/>
        </w:rPr>
      </w:pPr>
      <w:r>
        <w:rPr>
          <w:rFonts w:ascii="仿宋_GB2312" w:hAnsi="微软雅黑" w:cs="宋体"/>
          <w:b/>
          <w:sz w:val="29"/>
          <w:szCs w:val="29"/>
          <w:highlight w:val="none"/>
        </w:rPr>
        <w:t>1</w:t>
      </w:r>
      <w:r>
        <w:rPr>
          <w:rFonts w:hint="eastAsia" w:ascii="仿宋_GB2312" w:hAnsi="微软雅黑" w:cs="宋体"/>
          <w:b/>
          <w:sz w:val="29"/>
          <w:szCs w:val="29"/>
          <w:highlight w:val="none"/>
        </w:rPr>
        <w:t>5</w:t>
      </w:r>
      <w:r>
        <w:rPr>
          <w:rFonts w:ascii="仿宋_GB2312" w:hAnsi="微软雅黑" w:cs="宋体"/>
          <w:b/>
          <w:sz w:val="29"/>
          <w:szCs w:val="29"/>
          <w:highlight w:val="none"/>
        </w:rPr>
        <w:t>.</w:t>
      </w:r>
      <w:r>
        <w:rPr>
          <w:rFonts w:hint="eastAsia" w:ascii="仿宋_GB2312" w:hAnsi="微软雅黑" w:cs="宋体"/>
          <w:b/>
          <w:sz w:val="29"/>
          <w:szCs w:val="29"/>
          <w:highlight w:val="none"/>
        </w:rPr>
        <w:t>强化科教协同育人机制。</w:t>
      </w:r>
      <w:r>
        <w:rPr>
          <w:rFonts w:hint="eastAsia" w:ascii="仿宋_GB2312" w:hAnsi="微软雅黑" w:cs="宋体"/>
          <w:sz w:val="29"/>
          <w:szCs w:val="29"/>
          <w:highlight w:val="none"/>
        </w:rPr>
        <w:t>要完善机制强化学科建设和科学研究的育人功能，强化科研对教师学术创新能力的提升、知识体系的更新、教学方式方法改进和教学队伍发展的引领作用，发挥学科建设和科学研究对教学条件的改善和学生创新创业能力培养的支撑作用，发挥科研对研究式和讨论式教学的支撑和引领作用；要完善重点学科、重点实验室和教师科研工作促进教学的考核机制，将教学成果、教材编写、教学团队（名师）、重点实验室（实验教学示范中心）、重点（精品）课程和学生创新能力培养取得的成效纳入重点学科、重大科研项目和教师工作业绩考核职务晋升体系；要建立重点实验室和工程中心向本科生开放制度，建立支持教师指导学生承担项目、发表论文、申请专利的激励机制；要建立校内研究生导师为本科生作报告制度，完善学科邀请校外知名专家举办学术报告制度，通过面向本科生举办知识讲座和学术报告，促进</w:t>
      </w:r>
      <w:r>
        <w:rPr>
          <w:rFonts w:ascii="-webkit-standard" w:hAnsi="-webkit-standard" w:eastAsia="宋体" w:cs="宋体"/>
          <w:color w:val="000000"/>
          <w:kern w:val="0"/>
          <w:sz w:val="24"/>
          <w:szCs w:val="24"/>
          <w:highlight w:val="none"/>
        </w:rPr>
        <w:t>学</w:t>
      </w:r>
      <w:r>
        <w:rPr>
          <w:rFonts w:hint="eastAsia" w:ascii="仿宋_GB2312" w:hAnsi="微软雅黑" w:cs="宋体"/>
          <w:sz w:val="29"/>
          <w:szCs w:val="29"/>
          <w:highlight w:val="none"/>
        </w:rPr>
        <w:t>生开展研究性学习和创造性学习；要完善依托重点实验室和工程中心建设学生创新创业平台机制，支持教师依托科研项目和重点实验室组建学生创新团队，指导学生开展科学研究、发明创造和开展学科竞赛；要建立创新创业学分积累</w:t>
      </w:r>
      <w:r>
        <w:rPr>
          <w:rFonts w:ascii="仿宋_GB2312" w:hAnsi="微软雅黑" w:cs="宋体"/>
          <w:sz w:val="29"/>
          <w:szCs w:val="29"/>
          <w:highlight w:val="none"/>
        </w:rPr>
        <w:t>转换</w:t>
      </w:r>
      <w:r>
        <w:rPr>
          <w:rFonts w:hint="eastAsia" w:ascii="仿宋_GB2312" w:hAnsi="微软雅黑" w:cs="宋体"/>
          <w:sz w:val="29"/>
          <w:szCs w:val="29"/>
          <w:highlight w:val="none"/>
        </w:rPr>
        <w:t>为通识教育学分和创新创业教育学分</w:t>
      </w:r>
      <w:r>
        <w:rPr>
          <w:rFonts w:ascii="仿宋_GB2312" w:hAnsi="微软雅黑" w:cs="宋体"/>
          <w:sz w:val="29"/>
          <w:szCs w:val="29"/>
          <w:highlight w:val="none"/>
        </w:rPr>
        <w:t>制度</w:t>
      </w:r>
      <w:r>
        <w:rPr>
          <w:rFonts w:hint="eastAsia" w:ascii="仿宋_GB2312" w:hAnsi="微软雅黑" w:cs="宋体"/>
          <w:sz w:val="29"/>
          <w:szCs w:val="29"/>
          <w:highlight w:val="none"/>
        </w:rPr>
        <w:t>；要完善科研成果转化为教学内容的激励机制，支持优势特色学科优秀教师依托科研项目和成果编写特色教材、建设网络在线共享、编写优秀教学案例、构建内容先进和技术领先的实验实习项目。学科建设要以人才培养为中心，凝练学科方向，建设优秀教学科研团队和重点实验室，支撑引领专业建设发展，支撑拔尖创新人才培养，促进专业教育与创新创业教育深度融合。</w:t>
      </w:r>
    </w:p>
    <w:p>
      <w:pPr>
        <w:spacing w:line="480" w:lineRule="exact"/>
        <w:ind w:firstLine="582" w:firstLineChars="200"/>
        <w:rPr>
          <w:rFonts w:ascii="宋体" w:hAnsi="宋体" w:cs="宋体"/>
          <w:sz w:val="18"/>
          <w:szCs w:val="18"/>
          <w:highlight w:val="none"/>
        </w:rPr>
      </w:pPr>
      <w:r>
        <w:rPr>
          <w:rFonts w:hint="eastAsia" w:ascii="仿宋_GB2312" w:hAnsi="微软雅黑" w:cs="宋体"/>
          <w:b/>
          <w:sz w:val="29"/>
          <w:szCs w:val="29"/>
          <w:highlight w:val="none"/>
        </w:rPr>
        <w:t>16.建立国际合作育人机制。</w:t>
      </w:r>
      <w:r>
        <w:rPr>
          <w:rFonts w:hint="eastAsia" w:ascii="仿宋_GB2312" w:hAnsi="微软雅黑" w:cs="宋体"/>
          <w:sz w:val="29"/>
          <w:szCs w:val="29"/>
          <w:highlight w:val="none"/>
        </w:rPr>
        <w:t>支持相关单位和部门与境外高水平大学合作，建立教师和学生境外培养基地；实施公派出国（境）外留学支持计划，设立专项经费支持教师赴境外攻读学位、访问进修、开展讲学或出席国际学术会议；完善机制，支持相关学院与境外高校开展学生互换、学分互认、学位互授联授；支持重点学科和特色优势专业引进国外优质课程教学资源，设立客座教授和讲座教授岗位，聘请境外知名专家教授为本科生授课；完善人才引进机制，大力支持相关学科专业引进具有国（境）外学习、工作背景的教师。</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（六）加强本科教学质量评估与保障体系建设，营造建设高水平本科教育良好文化氛围</w:t>
      </w:r>
    </w:p>
    <w:p>
      <w:pPr>
        <w:spacing w:line="480" w:lineRule="exact"/>
        <w:ind w:firstLine="582" w:firstLineChars="200"/>
        <w:rPr>
          <w:rFonts w:ascii="仿宋_GB2312" w:hAnsi="仿宋_GB2312" w:eastAsia="仿宋_GB2312" w:cs="仿宋_GB2312"/>
          <w:sz w:val="30"/>
          <w:szCs w:val="30"/>
          <w:highlight w:val="none"/>
        </w:rPr>
      </w:pPr>
      <w:r>
        <w:rPr>
          <w:rFonts w:hint="eastAsia" w:ascii="仿宋_GB2312" w:hAnsi="微软雅黑" w:cs="宋体"/>
          <w:b/>
          <w:sz w:val="29"/>
          <w:szCs w:val="29"/>
          <w:highlight w:val="none"/>
        </w:rPr>
        <w:t>17</w:t>
      </w:r>
      <w:r>
        <w:rPr>
          <w:rFonts w:ascii="仿宋_GB2312" w:hAnsi="微软雅黑" w:cs="宋体"/>
          <w:b/>
          <w:sz w:val="29"/>
          <w:szCs w:val="29"/>
          <w:highlight w:val="none"/>
        </w:rPr>
        <w:t>.</w:t>
      </w:r>
      <w:r>
        <w:rPr>
          <w:rFonts w:hint="eastAsia" w:ascii="仿宋_GB2312" w:hAnsi="微软雅黑" w:cs="宋体"/>
          <w:b/>
          <w:sz w:val="29"/>
          <w:szCs w:val="29"/>
          <w:highlight w:val="none"/>
        </w:rPr>
        <w:t>完善教学质量标准，强化质量保障主体意识。</w:t>
      </w:r>
      <w:r>
        <w:rPr>
          <w:rFonts w:hint="eastAsia" w:ascii="仿宋_GB2312" w:hAnsi="微软雅黑" w:cs="宋体"/>
          <w:sz w:val="29"/>
          <w:szCs w:val="29"/>
          <w:highlight w:val="none"/>
        </w:rPr>
        <w:t>完善自我评估制度，加快建立自律、自查、自纠的教学质量评价体系；各职能部门要围绕聚焦本科</w:t>
      </w:r>
      <w:r>
        <w:rPr>
          <w:rFonts w:ascii="仿宋_GB2312" w:hAnsi="微软雅黑" w:cs="宋体"/>
          <w:sz w:val="29"/>
          <w:szCs w:val="29"/>
          <w:highlight w:val="none"/>
        </w:rPr>
        <w:t>教育教学</w:t>
      </w:r>
      <w:r>
        <w:rPr>
          <w:rFonts w:hint="eastAsia" w:ascii="仿宋_GB2312" w:hAnsi="微软雅黑" w:cs="宋体"/>
          <w:sz w:val="29"/>
          <w:szCs w:val="29"/>
          <w:highlight w:val="none"/>
        </w:rPr>
        <w:t>，服务人才培养开展工作并提交年度</w:t>
      </w:r>
      <w:r>
        <w:rPr>
          <w:rFonts w:ascii="仿宋_GB2312" w:hAnsi="微软雅黑" w:cs="宋体"/>
          <w:sz w:val="29"/>
          <w:szCs w:val="29"/>
          <w:highlight w:val="none"/>
        </w:rPr>
        <w:t>专项</w:t>
      </w:r>
      <w:r>
        <w:rPr>
          <w:rFonts w:hint="eastAsia" w:ascii="仿宋_GB2312" w:hAnsi="微软雅黑" w:cs="宋体"/>
          <w:sz w:val="29"/>
          <w:szCs w:val="29"/>
          <w:highlight w:val="none"/>
        </w:rPr>
        <w:t>总结；各教学单位、各教学系要以人才培养为中心、以课堂教学为主渠道和主阵地开展“三全育人”并提交年度教学</w:t>
      </w:r>
      <w:r>
        <w:rPr>
          <w:rFonts w:ascii="仿宋_GB2312" w:hAnsi="微软雅黑" w:cs="宋体"/>
          <w:sz w:val="29"/>
          <w:szCs w:val="29"/>
          <w:highlight w:val="none"/>
        </w:rPr>
        <w:t>学</w:t>
      </w:r>
      <w:r>
        <w:rPr>
          <w:rFonts w:hint="eastAsia" w:ascii="仿宋_GB2312" w:hAnsi="微软雅黑" w:cs="宋体"/>
          <w:sz w:val="29"/>
          <w:szCs w:val="29"/>
          <w:highlight w:val="none"/>
        </w:rPr>
        <w:t>工作总结报告；各专业</w:t>
      </w:r>
      <w:r>
        <w:rPr>
          <w:rFonts w:ascii="仿宋_GB2312" w:hAnsi="微软雅黑" w:cs="宋体"/>
          <w:sz w:val="29"/>
          <w:szCs w:val="29"/>
          <w:highlight w:val="none"/>
        </w:rPr>
        <w:t>负责人年</w:t>
      </w:r>
      <w:r>
        <w:rPr>
          <w:rFonts w:hint="eastAsia" w:ascii="仿宋_GB2312" w:hAnsi="微软雅黑" w:cs="宋体"/>
          <w:sz w:val="29"/>
          <w:szCs w:val="29"/>
          <w:highlight w:val="none"/>
        </w:rPr>
        <w:t>要按照国家本科教学质量标准要求组织专业建设和改革并提交年度总结报告；立项建设的各类课程</w:t>
      </w:r>
      <w:r>
        <w:rPr>
          <w:rFonts w:ascii="仿宋_GB2312" w:hAnsi="微软雅黑" w:cs="宋体"/>
          <w:sz w:val="29"/>
          <w:szCs w:val="29"/>
          <w:highlight w:val="none"/>
        </w:rPr>
        <w:t>负责人</w:t>
      </w:r>
      <w:r>
        <w:rPr>
          <w:rFonts w:hint="eastAsia" w:ascii="仿宋_GB2312" w:hAnsi="微软雅黑" w:cs="宋体"/>
          <w:sz w:val="29"/>
          <w:szCs w:val="29"/>
          <w:highlight w:val="none"/>
        </w:rPr>
        <w:t>要按照国家网络在线课程标准的要求和学校课程教学大纲的要求组织课程建设与教学改革，并提交</w:t>
      </w:r>
      <w:r>
        <w:rPr>
          <w:rFonts w:ascii="仿宋_GB2312" w:hAnsi="微软雅黑" w:cs="宋体"/>
          <w:sz w:val="29"/>
          <w:szCs w:val="29"/>
          <w:highlight w:val="none"/>
        </w:rPr>
        <w:t>年度课程建设</w:t>
      </w:r>
      <w:r>
        <w:rPr>
          <w:rFonts w:hint="eastAsia" w:ascii="仿宋_GB2312" w:hAnsi="微软雅黑" w:cs="宋体"/>
          <w:sz w:val="29"/>
          <w:szCs w:val="29"/>
          <w:highlight w:val="none"/>
        </w:rPr>
        <w:t>总结</w:t>
      </w:r>
      <w:r>
        <w:rPr>
          <w:rFonts w:ascii="仿宋_GB2312" w:hAnsi="微软雅黑" w:cs="宋体"/>
          <w:sz w:val="29"/>
          <w:szCs w:val="29"/>
          <w:highlight w:val="none"/>
        </w:rPr>
        <w:t>报告</w:t>
      </w:r>
      <w:r>
        <w:rPr>
          <w:rFonts w:hint="eastAsia" w:ascii="仿宋_GB2312" w:hAnsi="微软雅黑" w:cs="宋体"/>
          <w:sz w:val="29"/>
          <w:szCs w:val="29"/>
          <w:highlight w:val="none"/>
        </w:rPr>
        <w:t>；要建立和完善相关职能部门、各教学单位主要负责人年度人才培养工作述职和评议制度，落实人才培养中心地位和课堂教学主渠道主阵地管理责任；要通过教学检查督导评估，引导各单位、各专业合理定位、办出水平、办出特色；要强化评估认证结果的应用，建立专业课程评估认证结果公示和约谈、整改复查机制。</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18.发挥专家和社会机构在质量评价中的作用。</w:t>
      </w:r>
      <w:r>
        <w:rPr>
          <w:rFonts w:hint="eastAsia" w:ascii="仿宋_GB2312" w:hAnsi="微软雅黑" w:cs="宋体"/>
          <w:sz w:val="29"/>
          <w:szCs w:val="29"/>
          <w:highlight w:val="none"/>
        </w:rPr>
        <w:t>一是要完善机制，充分发挥学校教学指导委员会、学位评定委员会和学术委员会以及校外本科教学工作评估专家委员会等学术组织在标准制订、评估监测、项目评审、项目结题及学风建设方面的重要作用，确保教学管理科学决策，营造公平公正的管理氛围；二是要完善机制，建立专家库，完善项目评审、立项和验收程序，确保所有的教学项目的立项要通过专家的论证，所有项目的结题要通过专家鉴定，以提高教学项目管理的科学性和有效性；三是要充分发挥企业、行业和事业单位专家在人才培养、需求分析、标准制订和专业认证等方面的作用，确保人才培养符合社会需求和行业需求。</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四、评价方式和保障机制</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1.加强组织领导。</w:t>
      </w:r>
      <w:r>
        <w:rPr>
          <w:rFonts w:hint="eastAsia" w:ascii="仿宋_GB2312" w:hAnsi="微软雅黑" w:cs="宋体"/>
          <w:sz w:val="29"/>
          <w:szCs w:val="29"/>
          <w:highlight w:val="none"/>
        </w:rPr>
        <w:t>要把建设高水平本科教育作为新时代学校建设改革发展的重点任务；要进一步健全落实人才培养中心地位的领导体制、决策机制和评估机制，进一步明确各单位和部门工作职责和各类人员岗位职责，科学配置公共资源，指导和督促各单位将高水平本科教育建设目标、任务和举措落到实处；学校党委会、常委会和校长办公会要定期研究，书记校长及分管负责人要经常性研究本科教育工作，相关部门和院系负责人要切实担起责任，具体负责组织实施教学制度和标准，确保达到预期成效。</w:t>
      </w:r>
    </w:p>
    <w:p>
      <w:pPr>
        <w:spacing w:line="480" w:lineRule="exact"/>
        <w:ind w:left="1" w:firstLine="580" w:firstLineChars="200"/>
        <w:rPr>
          <w:rFonts w:ascii="仿宋_GB2312" w:hAnsi="微软雅黑" w:cs="宋体"/>
          <w:sz w:val="29"/>
          <w:szCs w:val="29"/>
          <w:highlight w:val="none"/>
        </w:rPr>
      </w:pPr>
      <w:r>
        <w:rPr>
          <w:rFonts w:hint="eastAsia" w:ascii="仿宋_GB2312" w:hAnsi="微软雅黑" w:cs="宋体"/>
          <w:sz w:val="29"/>
          <w:szCs w:val="29"/>
          <w:highlight w:val="none"/>
        </w:rPr>
        <w:t>各单位、各部门要深入学习习近平新时代中国特色社会主义思想，认真贯彻落实全国本科教育工作会议精神，把建设高水平本科教育作为全面贯彻党的教育方针，落实立德树人根本任务，培养社会主义建设者和接班人的重大战略任务。各单位、部门要深入开展新时代全面提高人才培养能力大学习和办学思想大讨论，教育和引导教职员工要聚焦本科教育，真正落实立德树人、教书育人、管理育人和服务育人责任，积极协调和动员各方面力量支持高水平本科教育建设。</w:t>
      </w:r>
    </w:p>
    <w:p>
      <w:pPr>
        <w:spacing w:line="480" w:lineRule="exact"/>
        <w:ind w:left="1" w:firstLine="580" w:firstLineChars="200"/>
        <w:rPr>
          <w:rFonts w:ascii="仿宋_GB2312" w:hAnsi="微软雅黑" w:cs="宋体"/>
          <w:sz w:val="29"/>
          <w:szCs w:val="29"/>
          <w:highlight w:val="none"/>
        </w:rPr>
      </w:pPr>
      <w:r>
        <w:rPr>
          <w:rFonts w:hint="eastAsia" w:ascii="仿宋_GB2312" w:hAnsi="微软雅黑" w:cs="宋体"/>
          <w:sz w:val="29"/>
          <w:szCs w:val="29"/>
          <w:highlight w:val="none"/>
        </w:rPr>
        <w:t>各职能部门必须以人才培养为中心，完善支持加快高水平本科教育建设的工作制度、工作机制和办事流程；各单位、部门要结合实际，科学制定本单位、部门高水平本科教育建设的规划、政策、措施和方案，并做好与学校“十三五”规划和高水平大学建设规划等任务的有效衔接；各单位、部门要按照分工要建立目标责任制，明确落实各项任务责任人与完成时间。</w:t>
      </w:r>
    </w:p>
    <w:p>
      <w:pPr>
        <w:spacing w:line="480" w:lineRule="exact"/>
        <w:ind w:left="1"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2.深化校院两级教学管理改革。</w:t>
      </w:r>
      <w:r>
        <w:rPr>
          <w:rFonts w:hint="eastAsia" w:ascii="仿宋_GB2312" w:hAnsi="微软雅黑" w:cs="宋体"/>
          <w:sz w:val="29"/>
          <w:szCs w:val="29"/>
          <w:highlight w:val="none"/>
        </w:rPr>
        <w:t>以制度建设为重点促进学校管理水平整体提升。坚持和完善党委领导下的校长负责制，贯彻落实学校章程，</w:t>
      </w:r>
      <w:r>
        <w:rPr>
          <w:rFonts w:ascii="仿宋_GB2312" w:hAnsi="微软雅黑" w:cs="宋体"/>
          <w:sz w:val="29"/>
          <w:szCs w:val="29"/>
          <w:highlight w:val="none"/>
        </w:rPr>
        <w:t>健全完善各项规章制度，</w:t>
      </w:r>
      <w:r>
        <w:rPr>
          <w:rFonts w:hint="eastAsia" w:ascii="仿宋_GB2312" w:hAnsi="微软雅黑" w:cs="宋体"/>
          <w:sz w:val="29"/>
          <w:szCs w:val="29"/>
          <w:highlight w:val="none"/>
        </w:rPr>
        <w:t>明确各单位、部门工作职责和工作目标，细化审批事项条件、流程和要求，简化审批程序，依法推进人财物等资源配置管理重心下移，依法加强监督和管理，构建科学规范高效的内部治理体系；创新基层教学科研组织和学术管理模式，完善学术治理体系，保障教学指导委员会、学术委员会在人才培养和学术事务中有效发挥作用；建立和完善社会支持和参与学校发展的组织形式和制度平台。进一步明确学校、学院和教学系管理职责，学校职能部门认真履行规划制定、制度设计、计划运行、改革推进、指导协调、资源配置、建设投入、过程督导和质量考核等管理职责；院、系（学科）和教研室认真履行培养方案制定、教学任务落实、教学活动组织、学生教育管理、专业建设、课程建设、教学团队建设、实验室建设、实践教学基地建设、教学研讨、学术交流、教学研究与改革、教学过程管理、教学质量评价与保障、教学工作考核等职责。</w:t>
      </w:r>
    </w:p>
    <w:p>
      <w:pPr>
        <w:spacing w:line="480" w:lineRule="exact"/>
        <w:ind w:left="1" w:firstLine="582" w:firstLineChars="200"/>
        <w:rPr>
          <w:rFonts w:ascii="仿宋_GB2312" w:hAnsi="微软雅黑" w:cs="宋体"/>
          <w:b/>
          <w:sz w:val="29"/>
          <w:szCs w:val="29"/>
          <w:highlight w:val="none"/>
        </w:rPr>
      </w:pPr>
      <w:r>
        <w:rPr>
          <w:rFonts w:hint="eastAsia" w:ascii="仿宋_GB2312" w:hAnsi="微软雅黑" w:cs="宋体"/>
          <w:b/>
          <w:sz w:val="29"/>
          <w:szCs w:val="29"/>
          <w:highlight w:val="none"/>
        </w:rPr>
        <w:t>3.要完善教学组织，加强教学管理队伍建设。</w:t>
      </w:r>
    </w:p>
    <w:p>
      <w:pPr>
        <w:spacing w:line="480" w:lineRule="exact"/>
        <w:ind w:left="1" w:firstLine="580" w:firstLineChars="200"/>
        <w:rPr>
          <w:rFonts w:ascii="仿宋_GB2312" w:hAnsi="微软雅黑" w:cs="宋体"/>
          <w:sz w:val="29"/>
          <w:szCs w:val="29"/>
          <w:highlight w:val="none"/>
        </w:rPr>
      </w:pPr>
      <w:r>
        <w:rPr>
          <w:rFonts w:hint="eastAsia" w:ascii="仿宋_GB2312" w:hAnsi="微软雅黑" w:cs="宋体"/>
          <w:sz w:val="29"/>
          <w:szCs w:val="29"/>
          <w:highlight w:val="none"/>
        </w:rPr>
        <w:t>一是要按照习近平总书记在北京大学教师座谈会讲话精神的要求，将教学管理队伍作为高水平人才培养体系构建的重要环节来抓，高度重视和加强教学管理队伍建设,合理利用编制,科学设置教学管理岗位层次和等级，吸引优秀人才从事教学管理工作，公开招聘硕士研究生以上学历人员补充到有关单位（部门）教学管理岗位；要将原在教学管理岗位工作、学历为本科以下的非编人员分流到其他岗位；二是要加强教学研究队伍建设，引进高等教育研究人员，鼓励教师和干部结合岗位工作积极开展高等教育研究、教学建设与改革以及教学管理研究与实践；三是要配齐配强二级教学单位教学管理人员，完善各级各类教学管理人员岗位职责，加强岗位考核和绩效管理，大胆提拔和任用政治素质过硬，业精湛，成效突出的优秀的管理干部；四是学校要设立独立的质量管理部门，对教学质量管理进行统一的顶层设计，实施闭环和校内第三方质量管理和监控；五是要完善制度，设立教研室（课程组），制定教研室（课程组）岗位职责和绩效考核与管理办法，落实教研室（课程组）组织教师开展政治业务学习和教学研讨，组织课程建设和教学改革，实施课程教学管理的责任；六是加强教学管理队伍培训，对院系负责人、专业首席教师、课程组负责人和教务员开展业务培训，选拔管理骨干赴境内外大学学习和挂职锻炼，提升教学管理队伍水平。</w:t>
      </w:r>
    </w:p>
    <w:p>
      <w:pPr>
        <w:widowControl/>
        <w:spacing w:line="480" w:lineRule="exact"/>
        <w:ind w:firstLine="582" w:firstLineChars="200"/>
        <w:rPr>
          <w:rFonts w:ascii="宋体" w:hAnsi="宋体" w:cs="宋体"/>
          <w:kern w:val="0"/>
          <w:sz w:val="18"/>
          <w:szCs w:val="18"/>
          <w:highlight w:val="none"/>
        </w:rPr>
      </w:pPr>
      <w:r>
        <w:rPr>
          <w:rFonts w:hint="eastAsia" w:ascii="仿宋_GB2312" w:hAnsi="微软雅黑" w:cs="宋体"/>
          <w:b/>
          <w:sz w:val="29"/>
          <w:szCs w:val="29"/>
          <w:highlight w:val="none"/>
        </w:rPr>
        <w:t>4.要强化投入，大力推进高水平本科教育建设</w:t>
      </w:r>
      <w:r>
        <w:rPr>
          <w:rFonts w:hint="eastAsia" w:ascii="仿宋_GB2312" w:hAnsi="微软雅黑" w:cs="宋体"/>
          <w:sz w:val="29"/>
          <w:szCs w:val="29"/>
          <w:highlight w:val="none"/>
        </w:rPr>
        <w:t>。一是</w:t>
      </w:r>
      <w:r>
        <w:rPr>
          <w:rFonts w:hint="eastAsia" w:ascii="仿宋_GB2312" w:hAnsi="微软雅黑" w:eastAsia="宋体" w:cs="宋体"/>
          <w:sz w:val="29"/>
          <w:szCs w:val="29"/>
          <w:highlight w:val="none"/>
        </w:rPr>
        <w:t>要进一步加大本科教学经费的投入，要多渠道筹措办学经费，适度增加本科教学经费比例；二是进一步优化经费支出结构，建立教学经费优先保障机制，要</w:t>
      </w:r>
      <w:r>
        <w:rPr>
          <w:rFonts w:hint="eastAsia" w:ascii="仿宋_GB2312" w:hAnsi="微软雅黑" w:cs="宋体"/>
          <w:sz w:val="29"/>
          <w:szCs w:val="29"/>
          <w:highlight w:val="none"/>
        </w:rPr>
        <w:t>在对各单位实验室维持费需求进行调研测算的基础上，科学预算实验室维持费和实习经费，</w:t>
      </w:r>
      <w:r>
        <w:rPr>
          <w:rFonts w:hint="eastAsia" w:ascii="仿宋_GB2312" w:hAnsi="微软雅黑" w:eastAsia="宋体" w:cs="宋体"/>
          <w:sz w:val="29"/>
          <w:szCs w:val="29"/>
          <w:highlight w:val="none"/>
        </w:rPr>
        <w:t>确保生均本科日常支出、生均本科实习经费、生均本科实验经费和专业建设与教学改革专项支出不低于全国平均水平</w:t>
      </w:r>
      <w:r>
        <w:rPr>
          <w:rFonts w:hint="eastAsia" w:ascii="仿宋_GB2312" w:hAnsi="微软雅黑" w:cs="宋体"/>
          <w:sz w:val="29"/>
          <w:szCs w:val="29"/>
          <w:highlight w:val="none"/>
        </w:rPr>
        <w:t>。三是要统筹经费支出，加大对本科教学实验室、实习基地、图书和教室教学设施投入力度，</w:t>
      </w:r>
      <w:r>
        <w:rPr>
          <w:rFonts w:hint="eastAsia" w:ascii="仿宋_GB2312" w:hAnsi="微软雅黑" w:eastAsia="宋体" w:cs="宋体"/>
          <w:sz w:val="29"/>
          <w:szCs w:val="29"/>
          <w:highlight w:val="none"/>
        </w:rPr>
        <w:t>升级改造室内外教学设施设备，尽快补齐教</w:t>
      </w:r>
      <w:r>
        <w:rPr>
          <w:rFonts w:hint="eastAsia" w:ascii="仿宋_GB2312" w:hAnsi="微软雅黑" w:cs="宋体"/>
          <w:sz w:val="29"/>
          <w:szCs w:val="29"/>
          <w:highlight w:val="none"/>
        </w:rPr>
        <w:t>学资源短板。四是要完善基建、维修和采购等项目经费管理审批制度，在确保依法依规合理使用经费前提下，坚持审批条件透明化、审批范围最小化，细化标准、简化流程、优化服务，建立项目负责人对经费使用和项目任务完成负总责的机制；要支持积极开展基建项目立项前期准备工作，建立基建项目库，积极争取各级财政支持，</w:t>
      </w:r>
      <w:r>
        <w:rPr>
          <w:rFonts w:hint="eastAsia" w:ascii="仿宋_GB2312" w:hAnsi="微软雅黑" w:eastAsia="宋体" w:cs="宋体"/>
          <w:sz w:val="29"/>
          <w:szCs w:val="29"/>
          <w:highlight w:val="none"/>
        </w:rPr>
        <w:t>加快推进教学行政用房等基础设施建设</w:t>
      </w:r>
      <w:r>
        <w:rPr>
          <w:rFonts w:hint="eastAsia" w:ascii="仿宋_GB2312" w:hAnsi="微软雅黑" w:cs="宋体"/>
          <w:sz w:val="29"/>
          <w:szCs w:val="29"/>
          <w:highlight w:val="none"/>
        </w:rPr>
        <w:t>进度。五是建立经费使用责任追究机制，确保经费高效科学合理使用</w:t>
      </w:r>
      <w:r>
        <w:rPr>
          <w:rFonts w:hint="eastAsia" w:ascii="仿宋_GB2312" w:hAnsi="微软雅黑" w:eastAsia="宋体" w:cs="宋体"/>
          <w:sz w:val="29"/>
          <w:szCs w:val="29"/>
          <w:highlight w:val="none"/>
        </w:rPr>
        <w:t>，采用审计</w:t>
      </w:r>
      <w:r>
        <w:rPr>
          <w:rFonts w:hint="eastAsia" w:ascii="仿宋_GB2312" w:hAnsi="微软雅黑" w:cs="宋体"/>
          <w:sz w:val="29"/>
          <w:szCs w:val="29"/>
          <w:highlight w:val="none"/>
        </w:rPr>
        <w:t>及专项检查等方式加大教学经费使用规范管理。六</w:t>
      </w:r>
      <w:r>
        <w:rPr>
          <w:rFonts w:hint="eastAsia" w:ascii="仿宋_GB2312" w:hAnsi="微软雅黑" w:eastAsia="宋体" w:cs="宋体"/>
          <w:sz w:val="29"/>
          <w:szCs w:val="29"/>
          <w:highlight w:val="none"/>
        </w:rPr>
        <w:t>是要完善校内内部治理体系，修订预算和结算管理办法，完善教学经费优先保障和经费使用管理办法，修订招标采购管理办法，简化不必要的审批环节，提高经费使用效率；加强经费使用绩效评价，强化目标管理，强化专项检查和审计监察，推进经费合理高效的使</w:t>
      </w:r>
      <w:r>
        <w:rPr>
          <w:rFonts w:hint="eastAsia" w:ascii="仿宋_GB2312" w:hAnsi="微软雅黑" w:cs="宋体"/>
          <w:sz w:val="29"/>
          <w:szCs w:val="29"/>
          <w:highlight w:val="none"/>
        </w:rPr>
        <w:t>用。七是要建立项目验收与项目运行费和津贴相结合的联动机制，开展教学经费结转结余资金清理，提高资金使用效率，</w:t>
      </w:r>
      <w:r>
        <w:rPr>
          <w:rFonts w:hint="eastAsia" w:ascii="仿宋_GB2312" w:hAnsi="微软雅黑" w:eastAsia="宋体" w:cs="宋体"/>
          <w:sz w:val="29"/>
          <w:szCs w:val="29"/>
          <w:highlight w:val="none"/>
        </w:rPr>
        <w:t>加强教育经费统计学习，提高教育经费统计技能</w:t>
      </w:r>
      <w:r>
        <w:rPr>
          <w:rFonts w:hint="eastAsia" w:ascii="仿宋_GB2312" w:hAnsi="微软雅黑" w:cs="宋体"/>
          <w:sz w:val="29"/>
          <w:szCs w:val="29"/>
          <w:highlight w:val="none"/>
        </w:rPr>
        <w:t>。</w:t>
      </w:r>
    </w:p>
    <w:p>
      <w:pPr>
        <w:spacing w:line="480" w:lineRule="exact"/>
        <w:ind w:firstLine="582" w:firstLineChars="200"/>
        <w:rPr>
          <w:rFonts w:ascii="仿宋_GB2312" w:hAnsi="微软雅黑" w:cs="宋体"/>
          <w:sz w:val="29"/>
          <w:szCs w:val="29"/>
          <w:highlight w:val="none"/>
        </w:rPr>
      </w:pPr>
      <w:r>
        <w:rPr>
          <w:rFonts w:hint="eastAsia" w:ascii="仿宋_GB2312" w:hAnsi="微软雅黑" w:cs="宋体"/>
          <w:b/>
          <w:sz w:val="29"/>
          <w:szCs w:val="29"/>
          <w:highlight w:val="none"/>
        </w:rPr>
        <w:t>5.要加大先进经验和优秀成果的宣传力度。</w:t>
      </w:r>
      <w:r>
        <w:rPr>
          <w:rFonts w:hint="eastAsia" w:ascii="仿宋_GB2312" w:hAnsi="微软雅黑" w:cs="宋体"/>
          <w:sz w:val="29"/>
          <w:szCs w:val="29"/>
          <w:highlight w:val="none"/>
        </w:rPr>
        <w:t>一是要开展办学思想大讨论，先进教育理念大学习，引导教师牢固树立“不上课不是教师，不开展学术研究、教学研究与改革的教师不是好教师”的理念，营造重视教书育人、学术创新和教学创新，追求教学卓越的良好氛围；二是要加强分类指导，</w:t>
      </w:r>
      <w:r>
        <w:rPr>
          <w:rFonts w:hint="eastAsia" w:ascii="仿宋_GB2312" w:hAnsi="微软雅黑" w:cs="宋体" w:eastAsiaTheme="minorEastAsia"/>
          <w:sz w:val="29"/>
          <w:szCs w:val="29"/>
          <w:highlight w:val="none"/>
        </w:rPr>
        <w:t>加强顶层设计，开展</w:t>
      </w:r>
      <w:r>
        <w:rPr>
          <w:rFonts w:hint="eastAsia" w:ascii="仿宋_GB2312" w:hAnsi="微软雅黑" w:cs="宋体"/>
          <w:sz w:val="29"/>
          <w:szCs w:val="29"/>
          <w:highlight w:val="none"/>
        </w:rPr>
        <w:t>人才培养</w:t>
      </w:r>
      <w:r>
        <w:rPr>
          <w:rFonts w:hint="eastAsia" w:ascii="仿宋_GB2312" w:hAnsi="微软雅黑" w:cs="宋体" w:eastAsiaTheme="minorEastAsia"/>
          <w:sz w:val="29"/>
          <w:szCs w:val="29"/>
          <w:highlight w:val="none"/>
        </w:rPr>
        <w:t>改革试点，</w:t>
      </w:r>
      <w:r>
        <w:rPr>
          <w:rFonts w:hint="eastAsia" w:ascii="仿宋_GB2312" w:hAnsi="微软雅黑" w:cs="宋体"/>
          <w:sz w:val="29"/>
          <w:szCs w:val="29"/>
          <w:highlight w:val="none"/>
        </w:rPr>
        <w:t>建立激励机制，保护和激发基层首创精神，鼓励各单位积极探索，勇于创新，创造性地开展高水平本科教育建设工作，</w:t>
      </w:r>
      <w:r>
        <w:rPr>
          <w:rFonts w:hint="eastAsia" w:ascii="仿宋_GB2312" w:hAnsi="微软雅黑" w:cs="宋体" w:eastAsiaTheme="minorEastAsia"/>
          <w:sz w:val="29"/>
          <w:szCs w:val="29"/>
          <w:highlight w:val="none"/>
        </w:rPr>
        <w:t>逐步积累改革经验，不断形成建设高水平本科教育的新理念、新标准、新路径、新机制、新文化</w:t>
      </w:r>
      <w:r>
        <w:rPr>
          <w:rFonts w:hint="eastAsia" w:ascii="仿宋_GB2312" w:hAnsi="微软雅黑" w:cs="宋体"/>
          <w:sz w:val="29"/>
          <w:szCs w:val="29"/>
          <w:highlight w:val="none"/>
        </w:rPr>
        <w:t>；三是切实加大本科教育教学成果表彰力度，对高水平本科教育建设中涌现优秀团队、先进集体和个人的</w:t>
      </w:r>
      <w:r>
        <w:rPr>
          <w:rFonts w:hint="eastAsia" w:ascii="仿宋_GB2312" w:hAnsi="微软雅黑" w:cs="宋体" w:eastAsiaTheme="minorEastAsia"/>
          <w:sz w:val="29"/>
          <w:szCs w:val="29"/>
          <w:highlight w:val="none"/>
        </w:rPr>
        <w:t>优秀事迹</w:t>
      </w:r>
      <w:r>
        <w:rPr>
          <w:rFonts w:hint="eastAsia" w:ascii="仿宋_GB2312" w:hAnsi="微软雅黑" w:cs="宋体"/>
          <w:sz w:val="29"/>
          <w:szCs w:val="29"/>
          <w:highlight w:val="none"/>
        </w:rPr>
        <w:t>以及好做法和好经验，要及时总结提炼，加大宣传和推广力度；四是要及时将带有共性的、规律性的好做法好经验凝练形成可推广的政策制度，指导全校工作；五是要通过本科教学质量工程、教改课题立项和教学成果培育等方式，支持各单位、部门和广大教师大胆探索，及时总结和凝练先进的教学经验形成优秀教学成果，加大我校教育教学成果的宣传力度，为建设高水平本科教育创造良好的社会环境和舆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bkit-standard">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5235"/>
    <w:rsid w:val="00004546"/>
    <w:rsid w:val="000139EB"/>
    <w:rsid w:val="0001467E"/>
    <w:rsid w:val="00017AE8"/>
    <w:rsid w:val="000241F3"/>
    <w:rsid w:val="00027002"/>
    <w:rsid w:val="00027BD9"/>
    <w:rsid w:val="00030076"/>
    <w:rsid w:val="00051AEC"/>
    <w:rsid w:val="00055E2B"/>
    <w:rsid w:val="00061C2A"/>
    <w:rsid w:val="0006305E"/>
    <w:rsid w:val="000636EA"/>
    <w:rsid w:val="00070A11"/>
    <w:rsid w:val="00082C5F"/>
    <w:rsid w:val="00083779"/>
    <w:rsid w:val="00096C73"/>
    <w:rsid w:val="00096DFB"/>
    <w:rsid w:val="000A640D"/>
    <w:rsid w:val="000C105E"/>
    <w:rsid w:val="000C3DAD"/>
    <w:rsid w:val="000D5E99"/>
    <w:rsid w:val="000E07FC"/>
    <w:rsid w:val="000E1FE7"/>
    <w:rsid w:val="000E5570"/>
    <w:rsid w:val="000E6022"/>
    <w:rsid w:val="000E6E25"/>
    <w:rsid w:val="00102134"/>
    <w:rsid w:val="00103BEA"/>
    <w:rsid w:val="00120128"/>
    <w:rsid w:val="00124AAC"/>
    <w:rsid w:val="00136DCF"/>
    <w:rsid w:val="00156B11"/>
    <w:rsid w:val="00162EBD"/>
    <w:rsid w:val="0016752C"/>
    <w:rsid w:val="0017517B"/>
    <w:rsid w:val="001768C7"/>
    <w:rsid w:val="00176CB8"/>
    <w:rsid w:val="001875DF"/>
    <w:rsid w:val="00192EE2"/>
    <w:rsid w:val="001942E3"/>
    <w:rsid w:val="001A1EAF"/>
    <w:rsid w:val="001A3C77"/>
    <w:rsid w:val="001A52BC"/>
    <w:rsid w:val="001C14A4"/>
    <w:rsid w:val="001C2284"/>
    <w:rsid w:val="001D2628"/>
    <w:rsid w:val="001D4FE2"/>
    <w:rsid w:val="001E080E"/>
    <w:rsid w:val="001F417B"/>
    <w:rsid w:val="001F7441"/>
    <w:rsid w:val="0020679F"/>
    <w:rsid w:val="00211F3D"/>
    <w:rsid w:val="0022476B"/>
    <w:rsid w:val="00227217"/>
    <w:rsid w:val="002519A0"/>
    <w:rsid w:val="00253D0A"/>
    <w:rsid w:val="00256C89"/>
    <w:rsid w:val="002747D6"/>
    <w:rsid w:val="00280CD5"/>
    <w:rsid w:val="00287A1D"/>
    <w:rsid w:val="0029179D"/>
    <w:rsid w:val="002930DD"/>
    <w:rsid w:val="00294993"/>
    <w:rsid w:val="00295883"/>
    <w:rsid w:val="002960CC"/>
    <w:rsid w:val="002A5B4E"/>
    <w:rsid w:val="002D2850"/>
    <w:rsid w:val="002D48B4"/>
    <w:rsid w:val="002D4EAD"/>
    <w:rsid w:val="002E2B38"/>
    <w:rsid w:val="002E7688"/>
    <w:rsid w:val="002F2543"/>
    <w:rsid w:val="003028F4"/>
    <w:rsid w:val="00310E00"/>
    <w:rsid w:val="003133BA"/>
    <w:rsid w:val="00321911"/>
    <w:rsid w:val="00327484"/>
    <w:rsid w:val="00330848"/>
    <w:rsid w:val="003357AC"/>
    <w:rsid w:val="0034572B"/>
    <w:rsid w:val="003728F4"/>
    <w:rsid w:val="003813EF"/>
    <w:rsid w:val="003819FF"/>
    <w:rsid w:val="003831A5"/>
    <w:rsid w:val="003A6DA1"/>
    <w:rsid w:val="003B176A"/>
    <w:rsid w:val="003B1D60"/>
    <w:rsid w:val="003C1293"/>
    <w:rsid w:val="003D267D"/>
    <w:rsid w:val="003E2A39"/>
    <w:rsid w:val="003F40C9"/>
    <w:rsid w:val="00400BC2"/>
    <w:rsid w:val="0040305F"/>
    <w:rsid w:val="0040587C"/>
    <w:rsid w:val="0041562C"/>
    <w:rsid w:val="004360E7"/>
    <w:rsid w:val="0045540B"/>
    <w:rsid w:val="004568F2"/>
    <w:rsid w:val="00462182"/>
    <w:rsid w:val="00465101"/>
    <w:rsid w:val="004666C3"/>
    <w:rsid w:val="004812BE"/>
    <w:rsid w:val="00481C7F"/>
    <w:rsid w:val="0048374E"/>
    <w:rsid w:val="00484753"/>
    <w:rsid w:val="004847CF"/>
    <w:rsid w:val="00496C66"/>
    <w:rsid w:val="00497015"/>
    <w:rsid w:val="004A344B"/>
    <w:rsid w:val="004A438C"/>
    <w:rsid w:val="004A6C55"/>
    <w:rsid w:val="004A7EF0"/>
    <w:rsid w:val="004D36D0"/>
    <w:rsid w:val="004D498F"/>
    <w:rsid w:val="004E519C"/>
    <w:rsid w:val="004E53D7"/>
    <w:rsid w:val="004F00FE"/>
    <w:rsid w:val="004F0484"/>
    <w:rsid w:val="004F5287"/>
    <w:rsid w:val="004F61BA"/>
    <w:rsid w:val="004F695D"/>
    <w:rsid w:val="00500D08"/>
    <w:rsid w:val="00503DC3"/>
    <w:rsid w:val="005047FF"/>
    <w:rsid w:val="00515867"/>
    <w:rsid w:val="00516E9F"/>
    <w:rsid w:val="005230C8"/>
    <w:rsid w:val="0053033E"/>
    <w:rsid w:val="00550721"/>
    <w:rsid w:val="00550CB2"/>
    <w:rsid w:val="00552373"/>
    <w:rsid w:val="005650DB"/>
    <w:rsid w:val="00567BDE"/>
    <w:rsid w:val="005763FB"/>
    <w:rsid w:val="005774A0"/>
    <w:rsid w:val="00581460"/>
    <w:rsid w:val="00586B62"/>
    <w:rsid w:val="0059534B"/>
    <w:rsid w:val="00596BCB"/>
    <w:rsid w:val="005A19FF"/>
    <w:rsid w:val="005B0ECA"/>
    <w:rsid w:val="005B39CB"/>
    <w:rsid w:val="005B666B"/>
    <w:rsid w:val="005C7070"/>
    <w:rsid w:val="005D4BE5"/>
    <w:rsid w:val="005D6844"/>
    <w:rsid w:val="005E361B"/>
    <w:rsid w:val="005F149E"/>
    <w:rsid w:val="006135B9"/>
    <w:rsid w:val="006212D9"/>
    <w:rsid w:val="00623123"/>
    <w:rsid w:val="00624A50"/>
    <w:rsid w:val="0063128F"/>
    <w:rsid w:val="006364E2"/>
    <w:rsid w:val="0064088B"/>
    <w:rsid w:val="006411AE"/>
    <w:rsid w:val="00653A83"/>
    <w:rsid w:val="0065541D"/>
    <w:rsid w:val="00662AC0"/>
    <w:rsid w:val="006712EB"/>
    <w:rsid w:val="006C1385"/>
    <w:rsid w:val="006D2B8B"/>
    <w:rsid w:val="006D7184"/>
    <w:rsid w:val="006E407E"/>
    <w:rsid w:val="006E71D4"/>
    <w:rsid w:val="006F4BF9"/>
    <w:rsid w:val="007033DA"/>
    <w:rsid w:val="0070574B"/>
    <w:rsid w:val="00716353"/>
    <w:rsid w:val="00720F3B"/>
    <w:rsid w:val="00725235"/>
    <w:rsid w:val="00730DE1"/>
    <w:rsid w:val="00731AE7"/>
    <w:rsid w:val="0074361C"/>
    <w:rsid w:val="007453F8"/>
    <w:rsid w:val="0074689C"/>
    <w:rsid w:val="007470BD"/>
    <w:rsid w:val="007520D2"/>
    <w:rsid w:val="00760F62"/>
    <w:rsid w:val="00780037"/>
    <w:rsid w:val="00790070"/>
    <w:rsid w:val="00791313"/>
    <w:rsid w:val="00793067"/>
    <w:rsid w:val="007B0D82"/>
    <w:rsid w:val="007B4E1B"/>
    <w:rsid w:val="007C040E"/>
    <w:rsid w:val="007C15FB"/>
    <w:rsid w:val="007D28B7"/>
    <w:rsid w:val="007E2E22"/>
    <w:rsid w:val="007E3BF1"/>
    <w:rsid w:val="007E49FA"/>
    <w:rsid w:val="0080453A"/>
    <w:rsid w:val="0080685F"/>
    <w:rsid w:val="008202E7"/>
    <w:rsid w:val="008360D3"/>
    <w:rsid w:val="008420F4"/>
    <w:rsid w:val="00887139"/>
    <w:rsid w:val="0089254B"/>
    <w:rsid w:val="008A5D10"/>
    <w:rsid w:val="008B4533"/>
    <w:rsid w:val="008C4F24"/>
    <w:rsid w:val="008D1C20"/>
    <w:rsid w:val="008D2DE5"/>
    <w:rsid w:val="008D4895"/>
    <w:rsid w:val="008D778C"/>
    <w:rsid w:val="008E66D5"/>
    <w:rsid w:val="008E708D"/>
    <w:rsid w:val="008E7590"/>
    <w:rsid w:val="00902019"/>
    <w:rsid w:val="009079AF"/>
    <w:rsid w:val="00914A9F"/>
    <w:rsid w:val="009203FE"/>
    <w:rsid w:val="00926167"/>
    <w:rsid w:val="00931F60"/>
    <w:rsid w:val="00937DFF"/>
    <w:rsid w:val="00942054"/>
    <w:rsid w:val="00950148"/>
    <w:rsid w:val="00964B02"/>
    <w:rsid w:val="00985BB0"/>
    <w:rsid w:val="00994F3E"/>
    <w:rsid w:val="009A269A"/>
    <w:rsid w:val="009A2C6E"/>
    <w:rsid w:val="009A54A6"/>
    <w:rsid w:val="009B262B"/>
    <w:rsid w:val="009B4B8C"/>
    <w:rsid w:val="009C0657"/>
    <w:rsid w:val="009C208C"/>
    <w:rsid w:val="009D16F1"/>
    <w:rsid w:val="009E61CA"/>
    <w:rsid w:val="009F1B09"/>
    <w:rsid w:val="00A13ABF"/>
    <w:rsid w:val="00A15E8D"/>
    <w:rsid w:val="00A262B6"/>
    <w:rsid w:val="00A55CE5"/>
    <w:rsid w:val="00A61328"/>
    <w:rsid w:val="00A81273"/>
    <w:rsid w:val="00A8628C"/>
    <w:rsid w:val="00A92CD3"/>
    <w:rsid w:val="00AA1CC4"/>
    <w:rsid w:val="00AA3C86"/>
    <w:rsid w:val="00AA5D80"/>
    <w:rsid w:val="00AA742E"/>
    <w:rsid w:val="00AA7C3D"/>
    <w:rsid w:val="00AB34BF"/>
    <w:rsid w:val="00AB40FD"/>
    <w:rsid w:val="00AB5095"/>
    <w:rsid w:val="00AB5547"/>
    <w:rsid w:val="00AC4779"/>
    <w:rsid w:val="00AD4CDF"/>
    <w:rsid w:val="00AF60BF"/>
    <w:rsid w:val="00B15E06"/>
    <w:rsid w:val="00B16355"/>
    <w:rsid w:val="00B4336E"/>
    <w:rsid w:val="00B451E6"/>
    <w:rsid w:val="00B51ECD"/>
    <w:rsid w:val="00B52788"/>
    <w:rsid w:val="00B60B6F"/>
    <w:rsid w:val="00B90B41"/>
    <w:rsid w:val="00B94071"/>
    <w:rsid w:val="00B95223"/>
    <w:rsid w:val="00BA0627"/>
    <w:rsid w:val="00BB170E"/>
    <w:rsid w:val="00BD241F"/>
    <w:rsid w:val="00BE262E"/>
    <w:rsid w:val="00BF59F9"/>
    <w:rsid w:val="00C002C8"/>
    <w:rsid w:val="00C121DC"/>
    <w:rsid w:val="00C1281E"/>
    <w:rsid w:val="00C12D5C"/>
    <w:rsid w:val="00C14826"/>
    <w:rsid w:val="00C21E93"/>
    <w:rsid w:val="00C22C06"/>
    <w:rsid w:val="00C22D50"/>
    <w:rsid w:val="00C304C1"/>
    <w:rsid w:val="00C328ED"/>
    <w:rsid w:val="00C35E46"/>
    <w:rsid w:val="00C36EF3"/>
    <w:rsid w:val="00C4161B"/>
    <w:rsid w:val="00C4235D"/>
    <w:rsid w:val="00C47C3A"/>
    <w:rsid w:val="00C54B63"/>
    <w:rsid w:val="00C54D04"/>
    <w:rsid w:val="00C54DC4"/>
    <w:rsid w:val="00C55FE0"/>
    <w:rsid w:val="00C609EF"/>
    <w:rsid w:val="00C60D83"/>
    <w:rsid w:val="00C636BA"/>
    <w:rsid w:val="00C65BA8"/>
    <w:rsid w:val="00C75885"/>
    <w:rsid w:val="00C75E5A"/>
    <w:rsid w:val="00C7732F"/>
    <w:rsid w:val="00C802F9"/>
    <w:rsid w:val="00C90189"/>
    <w:rsid w:val="00C95B7E"/>
    <w:rsid w:val="00CA019F"/>
    <w:rsid w:val="00CB2084"/>
    <w:rsid w:val="00CB7A8B"/>
    <w:rsid w:val="00CD003B"/>
    <w:rsid w:val="00CD008E"/>
    <w:rsid w:val="00CD31CA"/>
    <w:rsid w:val="00CE0F49"/>
    <w:rsid w:val="00CF0D0A"/>
    <w:rsid w:val="00CF2286"/>
    <w:rsid w:val="00CF4E56"/>
    <w:rsid w:val="00D13115"/>
    <w:rsid w:val="00D240F6"/>
    <w:rsid w:val="00D36344"/>
    <w:rsid w:val="00D4411A"/>
    <w:rsid w:val="00D53AAB"/>
    <w:rsid w:val="00D628B3"/>
    <w:rsid w:val="00D63BB6"/>
    <w:rsid w:val="00D64871"/>
    <w:rsid w:val="00D67C2B"/>
    <w:rsid w:val="00D72420"/>
    <w:rsid w:val="00D80D39"/>
    <w:rsid w:val="00D97377"/>
    <w:rsid w:val="00DA1720"/>
    <w:rsid w:val="00DA1979"/>
    <w:rsid w:val="00DA3CD0"/>
    <w:rsid w:val="00DA5F85"/>
    <w:rsid w:val="00DB3782"/>
    <w:rsid w:val="00DB5380"/>
    <w:rsid w:val="00DB5521"/>
    <w:rsid w:val="00DB72C3"/>
    <w:rsid w:val="00DC23A0"/>
    <w:rsid w:val="00DC34F6"/>
    <w:rsid w:val="00DC3A21"/>
    <w:rsid w:val="00DD69CE"/>
    <w:rsid w:val="00E5366F"/>
    <w:rsid w:val="00E56D85"/>
    <w:rsid w:val="00E623F4"/>
    <w:rsid w:val="00E6346D"/>
    <w:rsid w:val="00E649D0"/>
    <w:rsid w:val="00E705B5"/>
    <w:rsid w:val="00E75136"/>
    <w:rsid w:val="00E95F2F"/>
    <w:rsid w:val="00EB4E54"/>
    <w:rsid w:val="00ED5EFE"/>
    <w:rsid w:val="00ED68F0"/>
    <w:rsid w:val="00EE0047"/>
    <w:rsid w:val="00EF3E20"/>
    <w:rsid w:val="00EF4CBE"/>
    <w:rsid w:val="00EF5314"/>
    <w:rsid w:val="00EF6188"/>
    <w:rsid w:val="00F0212E"/>
    <w:rsid w:val="00F0375B"/>
    <w:rsid w:val="00F043CD"/>
    <w:rsid w:val="00F05CF3"/>
    <w:rsid w:val="00F153AB"/>
    <w:rsid w:val="00F20C1D"/>
    <w:rsid w:val="00F60F2C"/>
    <w:rsid w:val="00F64E07"/>
    <w:rsid w:val="00F65468"/>
    <w:rsid w:val="00F7413B"/>
    <w:rsid w:val="00F86781"/>
    <w:rsid w:val="00FA4880"/>
    <w:rsid w:val="00FB5C9C"/>
    <w:rsid w:val="00FC6772"/>
    <w:rsid w:val="00FD375D"/>
    <w:rsid w:val="00FE19E1"/>
    <w:rsid w:val="00FE1BF1"/>
    <w:rsid w:val="00FE350A"/>
    <w:rsid w:val="00FF5426"/>
    <w:rsid w:val="00FF65B0"/>
    <w:rsid w:val="01905D74"/>
    <w:rsid w:val="01946088"/>
    <w:rsid w:val="02085435"/>
    <w:rsid w:val="0270601D"/>
    <w:rsid w:val="0323472E"/>
    <w:rsid w:val="03315B7F"/>
    <w:rsid w:val="0342696C"/>
    <w:rsid w:val="034F2B12"/>
    <w:rsid w:val="044A0171"/>
    <w:rsid w:val="046F311D"/>
    <w:rsid w:val="054F1491"/>
    <w:rsid w:val="056542FC"/>
    <w:rsid w:val="05E15BB5"/>
    <w:rsid w:val="05EE5277"/>
    <w:rsid w:val="06510BFB"/>
    <w:rsid w:val="066962A9"/>
    <w:rsid w:val="06F97ED8"/>
    <w:rsid w:val="077B72A3"/>
    <w:rsid w:val="07853118"/>
    <w:rsid w:val="0A3040ED"/>
    <w:rsid w:val="0A8B5116"/>
    <w:rsid w:val="0AA0437E"/>
    <w:rsid w:val="0B415AC2"/>
    <w:rsid w:val="0B5D2C7B"/>
    <w:rsid w:val="0BE46145"/>
    <w:rsid w:val="0BFA481E"/>
    <w:rsid w:val="0C470D8C"/>
    <w:rsid w:val="0CEB4DEF"/>
    <w:rsid w:val="0CF15941"/>
    <w:rsid w:val="0D0A0541"/>
    <w:rsid w:val="0E3511B3"/>
    <w:rsid w:val="0F9542F0"/>
    <w:rsid w:val="0FAA5A48"/>
    <w:rsid w:val="0FAD022B"/>
    <w:rsid w:val="0FB5600E"/>
    <w:rsid w:val="103B4E39"/>
    <w:rsid w:val="1134152C"/>
    <w:rsid w:val="1241030E"/>
    <w:rsid w:val="1290177D"/>
    <w:rsid w:val="12A67B21"/>
    <w:rsid w:val="13970877"/>
    <w:rsid w:val="13A63CD7"/>
    <w:rsid w:val="13CA2BBE"/>
    <w:rsid w:val="140A2B77"/>
    <w:rsid w:val="14241BF9"/>
    <w:rsid w:val="1494309C"/>
    <w:rsid w:val="15346820"/>
    <w:rsid w:val="156E37B3"/>
    <w:rsid w:val="15F97E59"/>
    <w:rsid w:val="17B3136F"/>
    <w:rsid w:val="181A1F8B"/>
    <w:rsid w:val="18661BFE"/>
    <w:rsid w:val="18EA389B"/>
    <w:rsid w:val="18F43A01"/>
    <w:rsid w:val="19A46DA1"/>
    <w:rsid w:val="19B05BFA"/>
    <w:rsid w:val="19FE59ED"/>
    <w:rsid w:val="1AC05FFF"/>
    <w:rsid w:val="1AE61C46"/>
    <w:rsid w:val="1BA53EE6"/>
    <w:rsid w:val="1BCB4CC4"/>
    <w:rsid w:val="1BD968EC"/>
    <w:rsid w:val="1C2B2109"/>
    <w:rsid w:val="1C636A23"/>
    <w:rsid w:val="1CD908D9"/>
    <w:rsid w:val="1D8C7AD5"/>
    <w:rsid w:val="1DEB49EB"/>
    <w:rsid w:val="1E026B0F"/>
    <w:rsid w:val="1E302161"/>
    <w:rsid w:val="205551B7"/>
    <w:rsid w:val="20733EA7"/>
    <w:rsid w:val="20A45255"/>
    <w:rsid w:val="20D1097A"/>
    <w:rsid w:val="22471E5E"/>
    <w:rsid w:val="22F617DE"/>
    <w:rsid w:val="230A48D0"/>
    <w:rsid w:val="231B0EF8"/>
    <w:rsid w:val="23F625F7"/>
    <w:rsid w:val="240E3D6F"/>
    <w:rsid w:val="24877993"/>
    <w:rsid w:val="254234CF"/>
    <w:rsid w:val="25585E4F"/>
    <w:rsid w:val="257C6FE5"/>
    <w:rsid w:val="25AC587E"/>
    <w:rsid w:val="2675073D"/>
    <w:rsid w:val="268E4E56"/>
    <w:rsid w:val="298E6254"/>
    <w:rsid w:val="29EF58F7"/>
    <w:rsid w:val="2A6B1C41"/>
    <w:rsid w:val="2BC21031"/>
    <w:rsid w:val="2CA42A15"/>
    <w:rsid w:val="2D203DD9"/>
    <w:rsid w:val="2D4252EE"/>
    <w:rsid w:val="2DA0089B"/>
    <w:rsid w:val="2EA262F5"/>
    <w:rsid w:val="2EC82702"/>
    <w:rsid w:val="2EF02607"/>
    <w:rsid w:val="2F930964"/>
    <w:rsid w:val="2FEE1A7E"/>
    <w:rsid w:val="2FF81730"/>
    <w:rsid w:val="30044653"/>
    <w:rsid w:val="30485F98"/>
    <w:rsid w:val="30AB46AC"/>
    <w:rsid w:val="314C0DA6"/>
    <w:rsid w:val="31A55716"/>
    <w:rsid w:val="31AE5446"/>
    <w:rsid w:val="33852627"/>
    <w:rsid w:val="340E0240"/>
    <w:rsid w:val="35414CDD"/>
    <w:rsid w:val="35B40FB2"/>
    <w:rsid w:val="379C27C6"/>
    <w:rsid w:val="37C51A2B"/>
    <w:rsid w:val="38FE050D"/>
    <w:rsid w:val="39411282"/>
    <w:rsid w:val="39EB142E"/>
    <w:rsid w:val="3AAB59A6"/>
    <w:rsid w:val="3B1D0A1D"/>
    <w:rsid w:val="3B2D143C"/>
    <w:rsid w:val="3B6B2B74"/>
    <w:rsid w:val="3B6B7DC8"/>
    <w:rsid w:val="3B971742"/>
    <w:rsid w:val="3BE4094A"/>
    <w:rsid w:val="3CE5358F"/>
    <w:rsid w:val="3D3936E0"/>
    <w:rsid w:val="3DFA5D5F"/>
    <w:rsid w:val="3F3F5A2B"/>
    <w:rsid w:val="41224C51"/>
    <w:rsid w:val="41A018EC"/>
    <w:rsid w:val="41C927FA"/>
    <w:rsid w:val="41FC7F99"/>
    <w:rsid w:val="42211680"/>
    <w:rsid w:val="42B26201"/>
    <w:rsid w:val="44213380"/>
    <w:rsid w:val="44470B1D"/>
    <w:rsid w:val="45725A62"/>
    <w:rsid w:val="459844E9"/>
    <w:rsid w:val="45B006E5"/>
    <w:rsid w:val="45C25A2D"/>
    <w:rsid w:val="4609286B"/>
    <w:rsid w:val="46617F96"/>
    <w:rsid w:val="487B4E79"/>
    <w:rsid w:val="48E34675"/>
    <w:rsid w:val="49104A6E"/>
    <w:rsid w:val="49C95C86"/>
    <w:rsid w:val="4A011E24"/>
    <w:rsid w:val="4B796808"/>
    <w:rsid w:val="4B994D38"/>
    <w:rsid w:val="4BDE1EB1"/>
    <w:rsid w:val="4BDE6CB8"/>
    <w:rsid w:val="4C0A714D"/>
    <w:rsid w:val="4CD2394F"/>
    <w:rsid w:val="4CFB30D7"/>
    <w:rsid w:val="4CFC4429"/>
    <w:rsid w:val="4DAC7B3D"/>
    <w:rsid w:val="4DBD47FD"/>
    <w:rsid w:val="4EB35906"/>
    <w:rsid w:val="4F5C47FB"/>
    <w:rsid w:val="4FE8562A"/>
    <w:rsid w:val="510106F9"/>
    <w:rsid w:val="510704DB"/>
    <w:rsid w:val="51753477"/>
    <w:rsid w:val="51B518BA"/>
    <w:rsid w:val="526A7944"/>
    <w:rsid w:val="53113C8D"/>
    <w:rsid w:val="533140DE"/>
    <w:rsid w:val="54463D2A"/>
    <w:rsid w:val="54E44304"/>
    <w:rsid w:val="54F43202"/>
    <w:rsid w:val="559B372F"/>
    <w:rsid w:val="563D7CCE"/>
    <w:rsid w:val="566F62F7"/>
    <w:rsid w:val="568F3DA5"/>
    <w:rsid w:val="573A28D6"/>
    <w:rsid w:val="577B1501"/>
    <w:rsid w:val="59DC2949"/>
    <w:rsid w:val="5A426F7D"/>
    <w:rsid w:val="5A585675"/>
    <w:rsid w:val="5B0A7F8D"/>
    <w:rsid w:val="5B301FD4"/>
    <w:rsid w:val="5BB444F5"/>
    <w:rsid w:val="5BDC151F"/>
    <w:rsid w:val="5C3D73F5"/>
    <w:rsid w:val="5CAA4050"/>
    <w:rsid w:val="5D0271C4"/>
    <w:rsid w:val="5DF71D58"/>
    <w:rsid w:val="5F2F4EDA"/>
    <w:rsid w:val="5FF07D85"/>
    <w:rsid w:val="608D6C52"/>
    <w:rsid w:val="60C23381"/>
    <w:rsid w:val="61C478E9"/>
    <w:rsid w:val="62640669"/>
    <w:rsid w:val="62F40C74"/>
    <w:rsid w:val="6355421A"/>
    <w:rsid w:val="63BF5E33"/>
    <w:rsid w:val="645623CA"/>
    <w:rsid w:val="64AC05E2"/>
    <w:rsid w:val="65086F40"/>
    <w:rsid w:val="65193B0A"/>
    <w:rsid w:val="65A56A28"/>
    <w:rsid w:val="65DA37CF"/>
    <w:rsid w:val="66486A62"/>
    <w:rsid w:val="664C138A"/>
    <w:rsid w:val="664F2FE8"/>
    <w:rsid w:val="66A11C6C"/>
    <w:rsid w:val="66D126C7"/>
    <w:rsid w:val="66D76FED"/>
    <w:rsid w:val="670A5548"/>
    <w:rsid w:val="672D1F34"/>
    <w:rsid w:val="67BF57FF"/>
    <w:rsid w:val="67C16734"/>
    <w:rsid w:val="681436B9"/>
    <w:rsid w:val="686B2485"/>
    <w:rsid w:val="68AA5109"/>
    <w:rsid w:val="69340FBE"/>
    <w:rsid w:val="69380883"/>
    <w:rsid w:val="696E04C2"/>
    <w:rsid w:val="69C87637"/>
    <w:rsid w:val="6B8328F7"/>
    <w:rsid w:val="6BA83E9B"/>
    <w:rsid w:val="6BB17EEB"/>
    <w:rsid w:val="6C3C03E2"/>
    <w:rsid w:val="6CFF42CB"/>
    <w:rsid w:val="6D1B5E23"/>
    <w:rsid w:val="6DF54B75"/>
    <w:rsid w:val="6F505F24"/>
    <w:rsid w:val="702E773C"/>
    <w:rsid w:val="717D4213"/>
    <w:rsid w:val="7245550D"/>
    <w:rsid w:val="72FA01F6"/>
    <w:rsid w:val="741238B6"/>
    <w:rsid w:val="74C35A77"/>
    <w:rsid w:val="75275372"/>
    <w:rsid w:val="755E60C9"/>
    <w:rsid w:val="75E54742"/>
    <w:rsid w:val="768126BE"/>
    <w:rsid w:val="774D6F7A"/>
    <w:rsid w:val="77604214"/>
    <w:rsid w:val="77BA1ED1"/>
    <w:rsid w:val="781C6A28"/>
    <w:rsid w:val="78215678"/>
    <w:rsid w:val="78B64B16"/>
    <w:rsid w:val="79C948D3"/>
    <w:rsid w:val="79F76FD2"/>
    <w:rsid w:val="7BDA2BD1"/>
    <w:rsid w:val="7C42622F"/>
    <w:rsid w:val="7D4D077E"/>
    <w:rsid w:val="7DB00A8C"/>
    <w:rsid w:val="7DB4167C"/>
    <w:rsid w:val="7DB8525D"/>
    <w:rsid w:val="7F301673"/>
    <w:rsid w:val="7FBB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heme="minorHAnsi" w:hAnsiTheme="minorHAnsi" w:eastAsiaTheme="minorEastAsia" w:cstheme="minorBidi"/>
      <w:kern w:val="2"/>
      <w:sz w:val="18"/>
      <w:szCs w:val="18"/>
    </w:rPr>
  </w:style>
  <w:style w:type="character" w:customStyle="1" w:styleId="14">
    <w:name w:val="文档结构图 Char"/>
    <w:basedOn w:val="8"/>
    <w:link w:val="3"/>
    <w:semiHidden/>
    <w:qFormat/>
    <w:uiPriority w:val="99"/>
    <w:rPr>
      <w:rFonts w:ascii="宋体" w:hAnsiTheme="minorHAnsi" w:cstheme="minorBidi"/>
      <w:kern w:val="2"/>
      <w:sz w:val="18"/>
      <w:szCs w:val="18"/>
    </w:rPr>
  </w:style>
  <w:style w:type="character" w:customStyle="1" w:styleId="15">
    <w:name w:val="标题 1 Char"/>
    <w:basedOn w:val="8"/>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08168-C350-4F98-8A0B-FCD31A1F29C3}">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14</Pages>
  <Words>2143</Words>
  <Characters>12221</Characters>
  <Lines>101</Lines>
  <Paragraphs>28</Paragraphs>
  <TotalTime>336</TotalTime>
  <ScaleCrop>false</ScaleCrop>
  <LinksUpToDate>false</LinksUpToDate>
  <CharactersWithSpaces>14336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2018-09-03T02:00:00Z</dcterms:created>
  <dc:creator>安立龙</dc:creator>
  <cp:lastModifiedBy>liujing1418878934</cp:lastModifiedBy>
  <dcterms:modified xsi:type="dcterms:W3CDTF">2018-10-09T08:00:28Z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