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hint="eastAsia" w:ascii="宋体" w:hAnsi="宋体"/>
          <w:sz w:val="28"/>
          <w:szCs w:val="28"/>
        </w:rPr>
      </w:pPr>
      <w:r>
        <w:rPr>
          <w:rFonts w:hint="eastAsia"/>
          <w:sz w:val="28"/>
          <w:szCs w:val="28"/>
          <w:lang w:val="en-US" w:eastAsia="zh-CN"/>
        </w:rPr>
        <w:t xml:space="preserve"> </w:t>
      </w:r>
      <w:r>
        <w:rPr>
          <w:rFonts w:hint="eastAsia" w:ascii="宋体" w:hAnsi="宋体"/>
          <w:sz w:val="28"/>
          <w:szCs w:val="28"/>
        </w:rPr>
        <w:t>附件三</w:t>
      </w:r>
    </w:p>
    <w:p>
      <w:pPr>
        <w:widowControl/>
        <w:spacing w:line="400" w:lineRule="atLeast"/>
        <w:ind w:firstLine="640" w:firstLineChars="200"/>
        <w:jc w:val="center"/>
        <w:rPr>
          <w:rFonts w:hint="eastAsia" w:ascii="ˎ̥" w:hAnsi="ˎ̥" w:cs="宋体"/>
          <w:b/>
          <w:kern w:val="0"/>
          <w:sz w:val="32"/>
          <w:szCs w:val="32"/>
        </w:rPr>
      </w:pPr>
      <w:bookmarkStart w:id="0" w:name="_GoBack"/>
      <w:r>
        <w:rPr>
          <w:rFonts w:hint="eastAsia" w:ascii="ˎ̥" w:hAnsi="ˎ̥" w:cs="宋体"/>
          <w:b/>
          <w:kern w:val="0"/>
          <w:sz w:val="32"/>
          <w:szCs w:val="32"/>
        </w:rPr>
        <w:t>病原微生物实验室分级标准</w:t>
      </w:r>
      <w:bookmarkEnd w:id="0"/>
    </w:p>
    <w:p>
      <w:pPr>
        <w:pStyle w:val="2"/>
        <w:shd w:val="clear" w:color="auto" w:fill="FFFFFF"/>
        <w:wordWrap w:val="0"/>
        <w:rPr>
          <w:rFonts w:ascii="黑体" w:hAnsi="黑体" w:eastAsia="黑体"/>
          <w:b w:val="0"/>
          <w:bCs w:val="0"/>
          <w:color w:val="333333"/>
          <w:sz w:val="33"/>
          <w:szCs w:val="37"/>
        </w:rPr>
      </w:pPr>
      <w:r>
        <w:rPr>
          <w:rFonts w:hint="eastAsia" w:ascii="黑体" w:hAnsi="黑体" w:eastAsia="黑体"/>
          <w:b w:val="0"/>
          <w:bCs w:val="0"/>
          <w:color w:val="333333"/>
          <w:sz w:val="33"/>
          <w:szCs w:val="37"/>
        </w:rPr>
        <w:t>《实验室生物安全通用要求》（GB 19489-2008）：</w:t>
      </w:r>
    </w:p>
    <w:p>
      <w:pPr>
        <w:widowControl/>
        <w:spacing w:line="300" w:lineRule="exact"/>
        <w:rPr>
          <w:rStyle w:val="5"/>
          <w:rFonts w:ascii="Tahoma" w:hAnsi="Tahoma" w:cs="Tahoma"/>
          <w:sz w:val="28"/>
          <w:szCs w:val="28"/>
        </w:rPr>
      </w:pPr>
      <w:r>
        <w:rPr>
          <w:rStyle w:val="5"/>
          <w:rFonts w:hint="eastAsia" w:ascii="Tahoma" w:hAnsi="Tahoma" w:cs="Tahoma"/>
          <w:sz w:val="28"/>
          <w:szCs w:val="28"/>
        </w:rPr>
        <w:t>4</w:t>
      </w:r>
      <w:r>
        <w:rPr>
          <w:rStyle w:val="5"/>
          <w:rFonts w:ascii="Tahoma" w:hAnsi="Tahoma" w:cs="Tahoma"/>
          <w:sz w:val="28"/>
          <w:szCs w:val="28"/>
        </w:rPr>
        <w:t>实验室生物安全防护水平分级</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4.1  根据对所操作生物因子采取的防护措施，将实验室生物安全防护水平分为一级、二级、三级和四级，一级防护水平最低，四级防护水平最高。依据国家相关规定：</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a)  生物安全防护水平为一级的实验室适用于操作在通常情况下不会引起人类或者动物疾病的微生物；</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b)  生物安全防护水平为二级的实验室适用于操作能够引起人类或者动物疾病，但一般情况下对人、动物或者环境不构成严重危害，传播风险有限，实验室感染后很少引起严重疾病，并且具备有效治疗和预防措施的微生物；</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c)  生物安全防护水平为三级的实验室适用于操作能够引起人类或者动物严重疾病，比较容易直接或者间接在人与人、动物与人、动物与动物间传播的微生物；</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d)  生物安全防护水平为四级的实验室适用于操作能够引起人类或者动物非常严重疾病的微生物，以及我国尚未发现或者已经宣布消灭的微生物。</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4.2  以BSL-1、BSL-2、BSL-3、BSL-4（bio-safety level，BSL）表示仅从事体外操作的实验室的相应生物安全防护水平。</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4.3  以ABSL-1、ABSL-2、ABSL-3、ABSL-4（animal bio-safety level，ABSL）表示包括从事动物活体操作的实验室的相应生物安全防护水平。</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4.4  根据实验活动的差异、采用的个体防护装备和基础隔离设施的不同，实验室分以下情况：</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4.4.1  操作通常认为非经空气传播致病性生物因子的实验室。</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4.4.2  可有效利用安全隔离装置（如：生物安全柜）操作常规量经空气传播致病性生物因子的实验室。</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4.4.3  不能有效利用安全隔离装置操作常规量经空气传播致病性生物因子的实验室。</w:t>
      </w:r>
    </w:p>
    <w:p>
      <w:pPr>
        <w:widowControl/>
        <w:shd w:val="clear" w:color="auto" w:fill="FFFFFF"/>
        <w:adjustRightInd w:val="0"/>
        <w:snapToGrid w:val="0"/>
        <w:ind w:firstLine="480"/>
        <w:jc w:val="left"/>
        <w:rPr>
          <w:rFonts w:ascii="Verdana" w:hAnsi="Verdana" w:cs="宋体"/>
          <w:color w:val="333333"/>
          <w:kern w:val="0"/>
          <w:sz w:val="26"/>
          <w:szCs w:val="26"/>
        </w:rPr>
      </w:pPr>
      <w:r>
        <w:rPr>
          <w:rFonts w:ascii="Verdana" w:hAnsi="Verdana" w:cs="宋体"/>
          <w:color w:val="333333"/>
          <w:kern w:val="0"/>
          <w:sz w:val="26"/>
          <w:szCs w:val="26"/>
        </w:rPr>
        <w:t>4.4.4  利用具有生命支持系统的正压服操作常规量经空气传播致病性生物因子的实验室。</w:t>
      </w:r>
    </w:p>
    <w:p>
      <w:pPr>
        <w:widowControl/>
        <w:shd w:val="clear" w:color="auto" w:fill="FFFFFF"/>
        <w:adjustRightInd w:val="0"/>
        <w:snapToGrid w:val="0"/>
        <w:ind w:firstLine="480"/>
        <w:jc w:val="left"/>
        <w:rPr>
          <w:rFonts w:hint="eastAsia" w:ascii="Verdana" w:hAnsi="Verdana" w:cs="宋体"/>
          <w:color w:val="333333"/>
          <w:kern w:val="0"/>
          <w:sz w:val="26"/>
          <w:szCs w:val="26"/>
        </w:rPr>
      </w:pPr>
      <w:r>
        <w:rPr>
          <w:rFonts w:ascii="Verdana" w:hAnsi="Verdana" w:cs="宋体"/>
          <w:color w:val="333333"/>
          <w:kern w:val="0"/>
          <w:sz w:val="26"/>
          <w:szCs w:val="26"/>
        </w:rPr>
        <w:t>4.5  应依据国家相关主管部门发布的病原微生物分类名录</w:t>
      </w:r>
      <w:r>
        <w:rPr>
          <w:rFonts w:ascii="ˎ̥" w:hAnsi="ˎ̥"/>
          <w:color w:val="313131"/>
          <w:sz w:val="27"/>
          <w:szCs w:val="27"/>
        </w:rPr>
        <w:t>《卫生部关于印发〈人间传染的病原微生物名录〉的通知》（卫科教发〔2006〕15号）</w:t>
      </w:r>
      <w:r>
        <w:rPr>
          <w:rFonts w:ascii="Verdana" w:hAnsi="Verdana" w:cs="宋体"/>
          <w:color w:val="333333"/>
          <w:kern w:val="0"/>
          <w:sz w:val="26"/>
          <w:szCs w:val="26"/>
        </w:rPr>
        <w:t>，在风险评估的基础上，确定实验室的生物安全防护水平。</w:t>
      </w:r>
    </w:p>
    <w:p>
      <w:pPr>
        <w:widowControl/>
        <w:shd w:val="clear" w:color="auto" w:fill="FFFFFF"/>
        <w:adjustRightInd w:val="0"/>
        <w:snapToGrid w:val="0"/>
        <w:jc w:val="left"/>
        <w:rPr>
          <w:rFonts w:hint="eastAsia" w:ascii="Verdana" w:hAnsi="Verdana" w:cs="宋体"/>
          <w:color w:val="333333"/>
          <w:kern w:val="0"/>
          <w:sz w:val="22"/>
          <w:szCs w:val="26"/>
        </w:rPr>
      </w:pPr>
      <w:r>
        <w:rPr>
          <w:rFonts w:hint="eastAsia" w:ascii="黑体" w:hAnsi="黑体" w:eastAsia="黑体" w:cs="宋体"/>
          <w:b/>
          <w:bCs/>
          <w:color w:val="333333"/>
          <w:sz w:val="33"/>
          <w:szCs w:val="37"/>
        </w:rPr>
        <w:t>《微生物和生物医学实验室生物安全通用准则》《WS233－2002)》</w:t>
      </w:r>
    </w:p>
    <w:p>
      <w:pPr>
        <w:widowControl/>
        <w:spacing w:line="300" w:lineRule="exact"/>
        <w:rPr>
          <w:rStyle w:val="5"/>
          <w:rFonts w:hint="eastAsia" w:ascii="Tahoma" w:hAnsi="Tahoma" w:cs="Tahoma"/>
          <w:sz w:val="28"/>
          <w:szCs w:val="28"/>
        </w:rPr>
      </w:pPr>
      <w:r>
        <w:rPr>
          <w:rStyle w:val="5"/>
          <w:rFonts w:hint="eastAsia" w:ascii="Tahoma" w:hAnsi="Tahoma" w:cs="Tahoma"/>
          <w:sz w:val="28"/>
          <w:szCs w:val="28"/>
        </w:rPr>
        <w:t>5.3.1.1 一级生物安全防护实验室</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hint="eastAsia" w:ascii="Tahoma" w:hAnsi="Tahoma" w:cs="Tahoma"/>
          <w:sz w:val="28"/>
          <w:szCs w:val="28"/>
        </w:rPr>
        <w:t>实验室结构和设施、安全操作规程、安全设备适用于对健康成年人已知无致病作用的微生物，如用于教学的普通微生物实验室等。</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ascii="Tahoma" w:hAnsi="Tahoma" w:cs="Tahoma"/>
          <w:sz w:val="28"/>
          <w:szCs w:val="28"/>
        </w:rPr>
        <w:t xml:space="preserve">5.3.1.2 </w:t>
      </w:r>
      <w:r>
        <w:rPr>
          <w:rStyle w:val="5"/>
          <w:rFonts w:hint="eastAsia" w:ascii="Tahoma" w:hAnsi="Tahoma" w:cs="Tahoma"/>
          <w:sz w:val="28"/>
          <w:szCs w:val="28"/>
        </w:rPr>
        <w:t>二级生物安全防护实验室</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hint="eastAsia" w:ascii="Tahoma" w:hAnsi="Tahoma" w:cs="Tahoma"/>
          <w:sz w:val="28"/>
          <w:szCs w:val="28"/>
        </w:rPr>
        <w:t>实验室结构和设施、安全操作规程、安全设备适用于对人或环境具有中等潜在危害的微生物。</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ascii="Tahoma" w:hAnsi="Tahoma" w:cs="Tahoma"/>
          <w:sz w:val="28"/>
          <w:szCs w:val="28"/>
        </w:rPr>
        <w:t xml:space="preserve">5.3.1.3 </w:t>
      </w:r>
      <w:r>
        <w:rPr>
          <w:rStyle w:val="5"/>
          <w:rFonts w:hint="eastAsia" w:ascii="Tahoma" w:hAnsi="Tahoma" w:cs="Tahoma"/>
          <w:sz w:val="28"/>
          <w:szCs w:val="28"/>
        </w:rPr>
        <w:t>三级生物安全防护实验室</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hint="eastAsia" w:ascii="Tahoma" w:hAnsi="Tahoma" w:cs="Tahoma"/>
          <w:sz w:val="28"/>
          <w:szCs w:val="28"/>
        </w:rPr>
        <w:t>　</w:t>
      </w:r>
      <w:r>
        <w:rPr>
          <w:rStyle w:val="5"/>
          <w:rFonts w:ascii="Tahoma" w:hAnsi="Tahoma" w:cs="Tahoma"/>
          <w:sz w:val="28"/>
          <w:szCs w:val="28"/>
        </w:rPr>
        <w:t xml:space="preserve"> </w:t>
      </w:r>
      <w:r>
        <w:rPr>
          <w:rStyle w:val="5"/>
          <w:rFonts w:hint="eastAsia" w:ascii="Tahoma" w:hAnsi="Tahoma" w:cs="Tahoma"/>
          <w:sz w:val="28"/>
          <w:szCs w:val="28"/>
        </w:rPr>
        <w:t>实验室结构和设施、安全操作规程、安全设备适用于主要通过呼吸途径使人传染上严重的甚至是致死疾病的致病微生物及其毒素，通常已有预防传染的疫苗。</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hint="eastAsia" w:ascii="Tahoma" w:hAnsi="Tahoma" w:cs="Tahoma"/>
          <w:sz w:val="28"/>
          <w:szCs w:val="28"/>
        </w:rPr>
        <w:t>　</w:t>
      </w:r>
      <w:r>
        <w:rPr>
          <w:rStyle w:val="5"/>
          <w:rFonts w:ascii="Tahoma" w:hAnsi="Tahoma" w:cs="Tahoma"/>
          <w:sz w:val="28"/>
          <w:szCs w:val="28"/>
        </w:rPr>
        <w:t xml:space="preserve"> </w:t>
      </w:r>
      <w:r>
        <w:rPr>
          <w:rStyle w:val="5"/>
          <w:rFonts w:hint="eastAsia" w:ascii="Tahoma" w:hAnsi="Tahoma" w:cs="Tahoma"/>
          <w:sz w:val="28"/>
          <w:szCs w:val="28"/>
        </w:rPr>
        <w:t xml:space="preserve">艾滋病病毒的研究(血清学实验除外)应在三级生物安全防护实验室中进行。 </w:t>
      </w:r>
    </w:p>
    <w:p>
      <w:pPr>
        <w:widowControl/>
        <w:spacing w:line="300" w:lineRule="exact"/>
        <w:rPr>
          <w:rFonts w:hint="eastAsia"/>
          <w:sz w:val="28"/>
          <w:szCs w:val="28"/>
          <w:lang w:val="en-US" w:eastAsia="zh-CN"/>
        </w:rPr>
      </w:pPr>
      <w:r>
        <w:rPr>
          <w:rStyle w:val="5"/>
          <w:rFonts w:hint="eastAsia" w:ascii="Tahoma" w:hAnsi="Tahoma" w:cs="Tahoma"/>
          <w:sz w:val="28"/>
          <w:szCs w:val="28"/>
        </w:rPr>
        <w:t>5.3.1.4 四级生物安全防护实验室</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hint="eastAsia" w:ascii="Tahoma" w:hAnsi="Tahoma" w:cs="Tahoma"/>
          <w:sz w:val="28"/>
          <w:szCs w:val="28"/>
        </w:rPr>
        <w:t>实验室结构和设施、安全操作规程、安全设备适用于对人体具有高度的危险性，通过气溶胶途径传播或传播途径不明，目前尚无有效的疫苗或治疗方法的致病微生物及其毒素。与上述情况类似的不明微生物，也必须在四级生物安全防护实验室中进行。待有充分数据后再决定此种微生物或毒素应在四级还是在较低级别的实验室中处理。</w:t>
      </w:r>
      <w:r>
        <w:rPr>
          <w:rStyle w:val="5"/>
          <w:rFonts w:ascii="Tahoma" w:hAnsi="Tahoma" w:cs="Tahoma"/>
          <w:sz w:val="28"/>
          <w:szCs w:val="28"/>
        </w:rPr>
        <w:t xml:space="preserve"> </w:t>
      </w:r>
      <w:r>
        <w:rPr>
          <w:rFonts w:ascii="Tahoma" w:hAnsi="Tahoma" w:cs="Tahoma"/>
          <w:color w:val="000000"/>
          <w:sz w:val="28"/>
          <w:szCs w:val="28"/>
        </w:rPr>
        <w:br w:type="textWrapping"/>
      </w:r>
      <w:r>
        <w:rPr>
          <w:rStyle w:val="5"/>
          <w:rFonts w:hint="eastAsia" w:ascii="Tahoma" w:hAnsi="Tahoma" w:cs="Tahoma"/>
          <w:sz w:val="28"/>
          <w:szCs w:val="28"/>
        </w:rPr>
        <w:t>5.3.2 实验脊椎动物生物安全防护实验室，其适用微生物范围与同级的一般生物安全防护实验室相同。</w:t>
      </w:r>
      <w:r>
        <w:rPr>
          <w:rStyle w:val="5"/>
          <w:rFonts w:ascii="Tahoma" w:hAnsi="Tahoma" w:cs="Tahoma"/>
          <w:sz w:val="28"/>
          <w:szCs w:val="28"/>
        </w:rPr>
        <w:t xml:space="preserve"> </w:t>
      </w:r>
      <w:r>
        <w:rPr>
          <w:rFonts w:ascii="Tahoma" w:hAnsi="Tahoma" w:cs="Tahoma"/>
          <w:color w:val="000000"/>
          <w:sz w:val="28"/>
          <w:szCs w:val="28"/>
        </w:rPr>
        <w:br w:type="textWrapping"/>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647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article1"/>
    <w:basedOn w:val="3"/>
    <w:uiPriority w:val="0"/>
    <w:rP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校医院</dc:creator>
  <cp:lastModifiedBy>校医院</cp:lastModifiedBy>
  <dcterms:modified xsi:type="dcterms:W3CDTF">2017-03-27T01:21:06Z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