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eastAsia="zh-CN"/>
        </w:rPr>
        <w:t>件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：农学院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移液器、PCR仪等购置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（联系人：桑老师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15768379683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）</w:t>
      </w:r>
    </w:p>
    <w:p>
      <w:pPr>
        <w:jc w:val="left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预算金额：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95220元。</w:t>
      </w:r>
    </w:p>
    <w:tbl>
      <w:tblPr>
        <w:tblStyle w:val="47"/>
        <w:tblW w:w="10700" w:type="dxa"/>
        <w:jc w:val="center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9"/>
        <w:gridCol w:w="1101"/>
        <w:gridCol w:w="1740"/>
        <w:gridCol w:w="4005"/>
        <w:gridCol w:w="773"/>
        <w:gridCol w:w="821"/>
        <w:gridCol w:w="855"/>
        <w:gridCol w:w="786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highlight w:val="none"/>
              </w:rPr>
            </w:pPr>
            <w:r>
              <w:rPr>
                <w:rFonts w:cs="Times New Roman"/>
                <w:b/>
                <w:bCs/>
                <w:caps/>
                <w:highlight w:val="none"/>
                <w:u w:val="none"/>
                <w:lang w:val="zh-TW" w:eastAsia="zh-TW"/>
              </w:rPr>
              <w:t>序号</w:t>
            </w:r>
          </w:p>
        </w:tc>
        <w:tc>
          <w:tcPr>
            <w:tcW w:w="11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b/>
                <w:bCs/>
                <w:caps/>
                <w:highlight w:val="none"/>
                <w:u w:val="none"/>
                <w:lang w:val="zh-TW"/>
              </w:rPr>
              <w:t>申购</w:t>
            </w:r>
            <w:r>
              <w:rPr>
                <w:rFonts w:cs="Times New Roman"/>
                <w:b/>
                <w:bCs/>
                <w:caps/>
                <w:highlight w:val="none"/>
                <w:u w:val="none"/>
                <w:lang w:val="zh-TW" w:eastAsia="zh-TW"/>
              </w:rPr>
              <w:t>货物名称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b/>
                <w:bCs/>
                <w:caps/>
                <w:highlight w:val="none"/>
                <w:u w:val="none"/>
                <w:lang w:val="zh-TW" w:eastAsia="zh-CN"/>
              </w:rPr>
              <w:t>建议</w:t>
            </w:r>
            <w:r>
              <w:rPr>
                <w:rFonts w:hint="eastAsia" w:cs="Times New Roman"/>
                <w:b/>
                <w:bCs/>
                <w:caps/>
                <w:highlight w:val="none"/>
                <w:u w:val="none"/>
                <w:lang w:val="zh-TW"/>
              </w:rPr>
              <w:t>品牌/型号</w:t>
            </w:r>
          </w:p>
        </w:tc>
        <w:tc>
          <w:tcPr>
            <w:tcW w:w="4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b/>
                <w:bCs/>
                <w:caps/>
                <w:highlight w:val="none"/>
                <w:u w:val="none"/>
                <w:lang w:val="zh-TW"/>
              </w:rPr>
              <w:t>技术参数及配置</w:t>
            </w:r>
          </w:p>
        </w:tc>
        <w:tc>
          <w:tcPr>
            <w:tcW w:w="7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  <w:b/>
                <w:bCs/>
                <w:caps/>
                <w:highlight w:val="none"/>
                <w:u w:val="none"/>
                <w:lang w:val="zh-TW"/>
              </w:rPr>
            </w:pPr>
            <w:r>
              <w:rPr>
                <w:rFonts w:hint="eastAsia" w:cs="Times New Roman"/>
                <w:b/>
                <w:bCs/>
                <w:caps/>
                <w:highlight w:val="none"/>
                <w:u w:val="none"/>
                <w:lang w:val="zh-TW"/>
              </w:rPr>
              <w:t>币种</w:t>
            </w:r>
          </w:p>
        </w:tc>
        <w:tc>
          <w:tcPr>
            <w:tcW w:w="8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b/>
                <w:bCs/>
                <w:caps/>
                <w:highlight w:val="none"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highlight w:val="none"/>
                <w:u w:val="none"/>
                <w:lang w:val="zh-TW" w:eastAsia="zh-TW"/>
              </w:rPr>
              <w:t>单价</w:t>
            </w:r>
          </w:p>
          <w:p>
            <w:pPr>
              <w:pStyle w:val="48"/>
              <w:spacing w:line="260" w:lineRule="exact"/>
              <w:jc w:val="center"/>
              <w:rPr>
                <w:rFonts w:cs="Times New Roman"/>
                <w:highlight w:val="none"/>
              </w:rPr>
            </w:pPr>
            <w:r>
              <w:rPr>
                <w:rFonts w:cs="Times New Roman"/>
                <w:b/>
                <w:bCs/>
                <w:caps/>
                <w:highlight w:val="none"/>
                <w:u w:val="none"/>
                <w:lang w:val="zh-TW" w:eastAsia="zh-TW"/>
              </w:rPr>
              <w:t>（元）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b/>
                <w:bCs/>
                <w:caps/>
                <w:highlight w:val="none"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highlight w:val="none"/>
                <w:u w:val="none"/>
                <w:lang w:val="zh-TW" w:eastAsia="zh-TW"/>
              </w:rPr>
              <w:t>数量</w:t>
            </w:r>
          </w:p>
          <w:p>
            <w:pPr>
              <w:pStyle w:val="48"/>
              <w:spacing w:line="260" w:lineRule="exact"/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b/>
                <w:bCs/>
                <w:caps/>
                <w:highlight w:val="none"/>
                <w:u w:val="none"/>
                <w:lang w:val="zh-TW"/>
              </w:rPr>
              <w:t>（单位）</w:t>
            </w: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b/>
                <w:bCs/>
                <w:caps/>
                <w:highlight w:val="none"/>
                <w:u w:val="none"/>
                <w:lang w:val="zh-TW"/>
              </w:rPr>
              <w:t>小计</w:t>
            </w:r>
            <w:r>
              <w:rPr>
                <w:rFonts w:cs="Times New Roman"/>
                <w:b/>
                <w:bCs/>
                <w:caps/>
                <w:highlight w:val="none"/>
                <w:u w:val="none"/>
                <w:lang w:val="zh-TW" w:eastAsia="zh-TW"/>
              </w:rPr>
              <w:t>（元）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highlight w:val="none"/>
                <w:u w:val="none"/>
                <w:lang w:val="zh-TW" w:eastAsia="zh-TW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1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highlight w:val="none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移液器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ascii="宋体" w:hAnsi="宋体"/>
                <w:highlight w:val="none"/>
                <w:shd w:val="clear" w:color="auto" w:fill="FFFFFF"/>
              </w:rPr>
              <w:t>FinnpipetteF3</w:t>
            </w:r>
          </w:p>
        </w:tc>
        <w:tc>
          <w:tcPr>
            <w:tcW w:w="4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after="0"/>
              <w:rPr>
                <w:rFonts w:ascii="宋体" w:hAnsi="宋体" w:eastAsia="宋体"/>
                <w:highlight w:val="none"/>
              </w:rPr>
            </w:pPr>
            <w:r>
              <w:rPr>
                <w:rFonts w:ascii="宋体" w:hAnsi="宋体" w:eastAsia="宋体"/>
                <w:highlight w:val="none"/>
              </w:rPr>
              <w:t>1</w:t>
            </w:r>
            <w:r>
              <w:rPr>
                <w:rFonts w:hint="eastAsia" w:ascii="宋体" w:hAnsi="宋体" w:eastAsia="宋体"/>
                <w:highlight w:val="none"/>
              </w:rPr>
              <w:t>套共</w:t>
            </w:r>
            <w:r>
              <w:rPr>
                <w:rFonts w:ascii="宋体" w:hAnsi="宋体" w:eastAsia="宋体"/>
                <w:highlight w:val="none"/>
              </w:rPr>
              <w:t>4</w:t>
            </w:r>
            <w:r>
              <w:rPr>
                <w:rFonts w:hint="eastAsia" w:ascii="宋体" w:hAnsi="宋体" w:eastAsia="宋体"/>
                <w:highlight w:val="none"/>
              </w:rPr>
              <w:t>支</w:t>
            </w:r>
            <w:r>
              <w:rPr>
                <w:rFonts w:ascii="宋体" w:hAnsi="宋体" w:eastAsia="宋体"/>
                <w:highlight w:val="none"/>
              </w:rPr>
              <w:t>0.2-2ul</w:t>
            </w:r>
            <w:r>
              <w:rPr>
                <w:rFonts w:hint="eastAsia" w:ascii="宋体" w:hAnsi="宋体" w:eastAsia="宋体"/>
                <w:highlight w:val="none"/>
              </w:rPr>
              <w:t>、</w:t>
            </w:r>
            <w:r>
              <w:rPr>
                <w:rFonts w:ascii="宋体" w:hAnsi="宋体" w:eastAsia="宋体"/>
                <w:highlight w:val="none"/>
              </w:rPr>
              <w:t>2-20ul</w:t>
            </w:r>
            <w:r>
              <w:rPr>
                <w:rFonts w:hint="eastAsia" w:ascii="宋体" w:hAnsi="宋体" w:eastAsia="宋体"/>
                <w:highlight w:val="none"/>
              </w:rPr>
              <w:t>、</w:t>
            </w:r>
            <w:r>
              <w:rPr>
                <w:rFonts w:ascii="宋体" w:hAnsi="宋体" w:eastAsia="宋体"/>
                <w:highlight w:val="none"/>
              </w:rPr>
              <w:t>20-200ul</w:t>
            </w:r>
            <w:r>
              <w:rPr>
                <w:rFonts w:hint="eastAsia" w:ascii="宋体" w:hAnsi="宋体" w:eastAsia="宋体"/>
                <w:highlight w:val="none"/>
              </w:rPr>
              <w:t>、</w:t>
            </w:r>
            <w:r>
              <w:rPr>
                <w:rFonts w:ascii="宋体" w:hAnsi="宋体" w:eastAsia="宋体"/>
                <w:highlight w:val="none"/>
              </w:rPr>
              <w:t>100-1000ul</w:t>
            </w:r>
          </w:p>
          <w:p>
            <w:pPr>
              <w:spacing w:after="0"/>
              <w:rPr>
                <w:rFonts w:hint="eastAsia" w:ascii="幼圆" w:hAnsi="宋体" w:eastAsia="幼圆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宋体" w:hAnsi="宋体" w:eastAsia="宋体"/>
                <w:highlight w:val="none"/>
              </w:rPr>
              <w:t xml:space="preserve">1.F3 </w:t>
            </w:r>
            <w:r>
              <w:rPr>
                <w:rFonts w:hint="eastAsia" w:ascii="宋体" w:hAnsi="宋体" w:eastAsia="宋体"/>
                <w:highlight w:val="none"/>
              </w:rPr>
              <w:t>独有的自助式液量调节装置，使推杆上刻度转盘的旋转与移液量联动，实现单手粗调与微调的完美结合。</w:t>
            </w:r>
            <w:r>
              <w:rPr>
                <w:rFonts w:ascii="宋体" w:hAnsi="宋体" w:eastAsia="宋体"/>
                <w:highlight w:val="none"/>
              </w:rPr>
              <w:br w:type="textWrapping"/>
            </w:r>
            <w:r>
              <w:rPr>
                <w:rFonts w:ascii="宋体" w:hAnsi="宋体" w:eastAsia="宋体"/>
                <w:highlight w:val="none"/>
              </w:rPr>
              <w:t>2.</w:t>
            </w:r>
            <w:r>
              <w:rPr>
                <w:rFonts w:hint="eastAsia" w:ascii="宋体" w:hAnsi="宋体" w:eastAsia="宋体"/>
                <w:highlight w:val="none"/>
              </w:rPr>
              <w:t>为避免人手部温度对移液精确度的影响，设计者巧妙地将液体联动装置与腔体分离，使其处于移液相对恒温的环境，使移液器的准确度、精确度以及耐用性都得到较大的提升。</w:t>
            </w:r>
            <w:r>
              <w:rPr>
                <w:rFonts w:ascii="宋体" w:hAnsi="宋体" w:eastAsia="宋体"/>
                <w:highlight w:val="none"/>
              </w:rPr>
              <w:br w:type="textWrapping"/>
            </w:r>
            <w:r>
              <w:rPr>
                <w:rFonts w:hint="eastAsia" w:ascii="宋体" w:hAnsi="宋体" w:eastAsia="宋体"/>
                <w:highlight w:val="none"/>
              </w:rPr>
              <w:t>轻巧移液的楷模</w:t>
            </w:r>
            <w:r>
              <w:rPr>
                <w:rFonts w:ascii="宋体" w:hAnsi="宋体" w:eastAsia="宋体"/>
                <w:highlight w:val="none"/>
              </w:rPr>
              <w:t>——</w:t>
            </w:r>
            <w:r>
              <w:rPr>
                <w:rFonts w:hint="eastAsia" w:ascii="宋体" w:hAnsi="宋体" w:eastAsia="宋体"/>
                <w:highlight w:val="none"/>
              </w:rPr>
              <w:t>专利放松指靠</w:t>
            </w:r>
            <w:r>
              <w:rPr>
                <w:rFonts w:ascii="宋体" w:hAnsi="宋体" w:eastAsia="宋体"/>
                <w:highlight w:val="none"/>
              </w:rPr>
              <w:br w:type="textWrapping"/>
            </w:r>
            <w:r>
              <w:rPr>
                <w:rFonts w:ascii="宋体" w:hAnsi="宋体" w:eastAsia="宋体"/>
                <w:highlight w:val="none"/>
              </w:rPr>
              <w:t>3.</w:t>
            </w:r>
            <w:r>
              <w:rPr>
                <w:rFonts w:hint="eastAsia" w:ascii="宋体" w:hAnsi="宋体" w:eastAsia="宋体"/>
                <w:highlight w:val="none"/>
              </w:rPr>
              <w:t>为减轻实验者大量重复移液操</w:t>
            </w:r>
            <w:r>
              <w:rPr>
                <w:rFonts w:ascii="宋体" w:hAnsi="宋体" w:eastAsia="宋体"/>
                <w:highlight w:val="none"/>
              </w:rPr>
              <w:t xml:space="preserve"> </w:t>
            </w:r>
            <w:r>
              <w:rPr>
                <w:rFonts w:hint="eastAsia" w:ascii="宋体" w:hAnsi="宋体" w:eastAsia="宋体"/>
                <w:highlight w:val="none"/>
              </w:rPr>
              <w:t>作造成的腕部疲劳或损伤，实现轻松、顺畅、平稳移液，</w:t>
            </w:r>
            <w:r>
              <w:rPr>
                <w:rFonts w:ascii="宋体" w:hAnsi="宋体" w:eastAsia="宋体"/>
                <w:highlight w:val="none"/>
              </w:rPr>
              <w:t xml:space="preserve">F3 </w:t>
            </w:r>
            <w:r>
              <w:rPr>
                <w:rFonts w:hint="eastAsia" w:ascii="宋体" w:hAnsi="宋体" w:eastAsia="宋体"/>
                <w:highlight w:val="none"/>
              </w:rPr>
              <w:t>采用人体工效学原理，设计改良把手和具有专利的放松指靠。这一设计，极大地提高了使用者的舒适度，并防止出现</w:t>
            </w:r>
            <w:r>
              <w:rPr>
                <w:rFonts w:ascii="宋体" w:hAnsi="宋体" w:eastAsia="宋体"/>
                <w:highlight w:val="none"/>
              </w:rPr>
              <w:t xml:space="preserve"> RSI </w:t>
            </w:r>
            <w:r>
              <w:rPr>
                <w:rFonts w:hint="eastAsia" w:ascii="宋体" w:hAnsi="宋体" w:eastAsia="宋体"/>
                <w:highlight w:val="none"/>
              </w:rPr>
              <w:t>症状。</w:t>
            </w:r>
            <w:r>
              <w:rPr>
                <w:rFonts w:ascii="宋体" w:hAnsi="宋体" w:eastAsia="宋体"/>
                <w:highlight w:val="none"/>
              </w:rPr>
              <w:t xml:space="preserve">F3 </w:t>
            </w:r>
            <w:r>
              <w:rPr>
                <w:rFonts w:hint="eastAsia" w:ascii="宋体" w:hAnsi="宋体" w:eastAsia="宋体"/>
                <w:highlight w:val="none"/>
              </w:rPr>
              <w:t>成为当之无愧的轻巧移液楷模。</w:t>
            </w:r>
            <w:r>
              <w:rPr>
                <w:rFonts w:ascii="宋体" w:hAnsi="宋体" w:eastAsia="宋体"/>
                <w:highlight w:val="none"/>
              </w:rPr>
              <w:br w:type="textWrapping"/>
            </w:r>
            <w:r>
              <w:rPr>
                <w:rFonts w:hint="eastAsia" w:ascii="宋体" w:hAnsi="宋体" w:eastAsia="宋体"/>
                <w:highlight w:val="none"/>
              </w:rPr>
              <w:t>轻松移液的帮手</w:t>
            </w:r>
            <w:r>
              <w:rPr>
                <w:rFonts w:ascii="宋体" w:hAnsi="宋体" w:eastAsia="宋体"/>
                <w:highlight w:val="none"/>
              </w:rPr>
              <w:t>——</w:t>
            </w:r>
            <w:r>
              <w:rPr>
                <w:rFonts w:hint="eastAsia" w:ascii="宋体" w:hAnsi="宋体" w:eastAsia="宋体"/>
                <w:highlight w:val="none"/>
              </w:rPr>
              <w:t>双控功能旋钮</w:t>
            </w:r>
            <w:r>
              <w:rPr>
                <w:rFonts w:ascii="宋体" w:hAnsi="宋体" w:eastAsia="宋体"/>
                <w:highlight w:val="none"/>
              </w:rPr>
              <w:br w:type="textWrapping"/>
            </w:r>
            <w:r>
              <w:rPr>
                <w:rFonts w:ascii="宋体" w:hAnsi="宋体" w:eastAsia="宋体"/>
                <w:highlight w:val="none"/>
              </w:rPr>
              <w:t>4.</w:t>
            </w:r>
            <w:r>
              <w:rPr>
                <w:rFonts w:hint="eastAsia" w:ascii="宋体" w:hAnsi="宋体" w:eastAsia="宋体"/>
                <w:highlight w:val="none"/>
              </w:rPr>
              <w:t>顶部旋转式按钮帽，确保移液流畅，避免手指摩擦导致的液量改变。</w:t>
            </w:r>
            <w:r>
              <w:rPr>
                <w:rFonts w:ascii="宋体" w:hAnsi="宋体" w:eastAsia="宋体"/>
                <w:highlight w:val="none"/>
              </w:rPr>
              <w:br w:type="textWrapping"/>
            </w:r>
            <w:r>
              <w:rPr>
                <w:rFonts w:ascii="宋体" w:hAnsi="宋体" w:eastAsia="宋体"/>
                <w:highlight w:val="none"/>
              </w:rPr>
              <w:t>5.</w:t>
            </w:r>
            <w:r>
              <w:rPr>
                <w:rFonts w:hint="eastAsia" w:ascii="宋体" w:hAnsi="宋体" w:eastAsia="宋体"/>
                <w:highlight w:val="none"/>
              </w:rPr>
              <w:t>底部彩色转盘，易于液量调节，可单手操作。</w:t>
            </w:r>
            <w:r>
              <w:rPr>
                <w:rFonts w:ascii="宋体" w:hAnsi="宋体" w:eastAsia="宋体"/>
                <w:highlight w:val="none"/>
              </w:rPr>
              <w:br w:type="textWrapping"/>
            </w:r>
            <w:r>
              <w:rPr>
                <w:rFonts w:hint="eastAsia" w:ascii="宋体" w:hAnsi="宋体" w:eastAsia="宋体"/>
                <w:highlight w:val="none"/>
              </w:rPr>
              <w:t>超大清晰的显示屏</w:t>
            </w:r>
            <w:r>
              <w:rPr>
                <w:rFonts w:ascii="宋体" w:hAnsi="宋体" w:eastAsia="宋体"/>
                <w:highlight w:val="none"/>
              </w:rPr>
              <w:br w:type="textWrapping"/>
            </w:r>
            <w:r>
              <w:rPr>
                <w:rFonts w:ascii="宋体" w:hAnsi="宋体" w:eastAsia="宋体"/>
                <w:highlight w:val="none"/>
              </w:rPr>
              <w:t xml:space="preserve">6.F3 </w:t>
            </w:r>
            <w:r>
              <w:rPr>
                <w:rFonts w:hint="eastAsia" w:ascii="宋体" w:hAnsi="宋体" w:eastAsia="宋体"/>
                <w:highlight w:val="none"/>
              </w:rPr>
              <w:t>配备了一个清晰的移液量程显示屏。大号字体，黑白分明。大大提高了视觉的舒适度，有效减少了长期工作中的视觉疲劳。</w:t>
            </w:r>
            <w:r>
              <w:rPr>
                <w:rFonts w:ascii="宋体" w:hAnsi="宋体" w:eastAsia="宋体"/>
                <w:highlight w:val="none"/>
              </w:rPr>
              <w:br w:type="textWrapping"/>
            </w:r>
            <w:r>
              <w:rPr>
                <w:rFonts w:ascii="宋体" w:hAnsi="宋体" w:eastAsia="宋体"/>
                <w:highlight w:val="none"/>
              </w:rPr>
              <w:t>7.</w:t>
            </w:r>
            <w:r>
              <w:rPr>
                <w:rFonts w:hint="eastAsia" w:ascii="宋体" w:hAnsi="宋体" w:eastAsia="宋体"/>
                <w:highlight w:val="none"/>
              </w:rPr>
              <w:t>新增的具有微调功能的标尺，使</w:t>
            </w:r>
            <w:r>
              <w:rPr>
                <w:rFonts w:ascii="宋体" w:hAnsi="宋体" w:eastAsia="宋体"/>
                <w:highlight w:val="none"/>
              </w:rPr>
              <w:t>F3</w:t>
            </w:r>
            <w:r>
              <w:rPr>
                <w:rFonts w:hint="eastAsia" w:ascii="宋体" w:hAnsi="宋体" w:eastAsia="宋体"/>
                <w:highlight w:val="none"/>
              </w:rPr>
              <w:t>移液器的操作达到前所未有的准确。</w:t>
            </w:r>
          </w:p>
        </w:tc>
        <w:tc>
          <w:tcPr>
            <w:tcW w:w="7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highlight w:val="none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eastAsiaTheme="minorEastAsia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highlight w:val="none"/>
                <w:lang w:val="en-US" w:eastAsia="zh-CN"/>
              </w:rPr>
              <w:t>1500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highlight w:val="none"/>
                <w:u w:val="none"/>
                <w:lang w:val="zh-TW" w:eastAsia="zh-TW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3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套</w:t>
            </w: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u w:val="none"/>
                <w:lang w:val="en-US" w:eastAsia="zh-CN"/>
              </w:rPr>
            </w:pPr>
            <w:r>
              <w:rPr>
                <w:rFonts w:hint="eastAsia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00 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1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PCR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仪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ascii="宋体" w:hAnsi="宋体" w:eastAsia="宋体" w:cs="宋体"/>
                <w:szCs w:val="21"/>
                <w:highlight w:val="none"/>
              </w:rPr>
              <w:t>Hema 9600</w:t>
            </w:r>
          </w:p>
        </w:tc>
        <w:tc>
          <w:tcPr>
            <w:tcW w:w="4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、样品台：标准模块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96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×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0.2ml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及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54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×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0.5ml;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可另选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384well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模块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;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模块更换方便、快捷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;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2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、温度范围：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℃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—100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℃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;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3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、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升温速率：≥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3.0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℃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/S;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4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、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降温速率：≥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2.8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℃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/S;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5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、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温度均匀性：≤±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0.4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℃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;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6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、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温度精确性：±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0.1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℃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;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7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、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梯度温度范围：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30—100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℃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;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8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、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梯度温度宽度：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2—30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℃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;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9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、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热盖温度：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70—110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℃可调，可调整压力并带压力显示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;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10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、程序存储量：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200;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11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、最大循环数：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99;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12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、图形界面：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5.7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寸大屏幕中文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LCD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，显示扩增过程相关参数和图表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;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13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、通信接口：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USB 2.0;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*14.1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带时间递增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/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递减功能，适合长链基因（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450nm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以上）的扩增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 xml:space="preserve">; 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14.2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带温度递增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/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递减功能，适合科研需求。</w:t>
            </w:r>
          </w:p>
          <w:p>
            <w:pPr>
              <w:spacing w:after="0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*15.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本产品质保三年，要求提供厂家售后服务及质量保证承诺书。</w:t>
            </w:r>
          </w:p>
        </w:tc>
        <w:tc>
          <w:tcPr>
            <w:tcW w:w="7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27500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台</w:t>
            </w: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27500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11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after="0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Tahoma"/>
                <w:sz w:val="21"/>
                <w:szCs w:val="21"/>
                <w:highlight w:val="none"/>
              </w:rPr>
              <w:t>台式多用途高速冷冻离心机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after="0"/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JIDI-20R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广州吉迪仪器有限公司</w:t>
            </w:r>
          </w:p>
        </w:tc>
        <w:tc>
          <w:tcPr>
            <w:tcW w:w="4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最高转速：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20000r/min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2.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最大相对离心力：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27800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×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g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3.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定时范围：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0 ~ 99min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4.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转速精度：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±10r/min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5.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加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/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减速率：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1~9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档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6.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电机：变频无刷电机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7.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温控范围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:-30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℃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~+40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℃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8.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电源：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AC 220V 50Hz 15A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9.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整机噪音：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≤55dB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10.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重量（不含转头）：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70Kg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11.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外形尺寸：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760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×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555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×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378mm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（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L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×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W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×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H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）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12.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配置包括：主机、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12×1.5/2.2ml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角转子，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6×50ml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角转子。</w:t>
            </w:r>
          </w:p>
          <w:p>
            <w:pPr>
              <w:spacing w:after="0"/>
              <w:rPr>
                <w:rFonts w:ascii="宋体" w:hAnsi="宋体" w:eastAsia="宋体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highlight w:val="none"/>
              </w:rPr>
              <w:t>特点：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*1.JIDI-20R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采用全触摸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5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寸彩屏显示，操作方便简洁，显示清晰明了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;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*2.JIDI-20R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除电子锁外还设有独特的应急按钮，在断电的时候也可以进行门盖开关；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*3.JIDI-20R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采用独有的六边形腔体连接，將电路板全部悬挂起来，具有很好的防潮效果；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*4.JIDI-20R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离心腔采用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304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不锈钢材料具有良好的耐腐蚀作用，经久耐用；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*5.JIDI-20R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采用独有的三角连接杆电机固定方式，将电机牢牢地固定在底部，使电机能高速平稳的运转；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*6.JIDI-20R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门盖进行开模设计，将密封程度做到最好，大幅度的减少了噪音，提早了制冷效果；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*7.JIDI-20R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采用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sz w:val="21"/>
                <w:szCs w:val="21"/>
                <w:highlight w:val="none"/>
                <w:lang w:eastAsia="zh-CN"/>
              </w:rPr>
              <w:t>优质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压缩机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-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可靠性高，制冷非常稳定，并进行最佳冷冻腔体连接技术，降温极为迅，能更快更好的达到制冷效果；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*8.JIDI-20R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冷凝器为独有的四排管散热，加大了压缩机的散热面积，延长了压缩机的使用寿命；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*9.JIDI-20R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设计独有的前开孔技术，整机维修方便。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*10.JIDI-20R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配有独有的专用工具，轻松旋转即可完成转头更换。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*11.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采用双层内凸盖设计，与离心机内腔完全吻合，美观大方，大幅度减少噪音。</w:t>
            </w:r>
          </w:p>
          <w:p>
            <w:pPr>
              <w:spacing w:after="0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*12.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本产品质保三年，要求提供厂家售后服务及质量保证承诺书。</w:t>
            </w:r>
          </w:p>
        </w:tc>
        <w:tc>
          <w:tcPr>
            <w:tcW w:w="7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25600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台</w:t>
            </w: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11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Tahoma"/>
                <w:sz w:val="21"/>
                <w:szCs w:val="21"/>
                <w:highlight w:val="none"/>
              </w:rPr>
              <w:t>台式多用途高速离心机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JIDI-20D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广州吉迪仪器有限公司</w:t>
            </w:r>
          </w:p>
        </w:tc>
        <w:tc>
          <w:tcPr>
            <w:tcW w:w="4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主要参数：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: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最高转速：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20000r/min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2.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最大相对离心力：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27800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×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g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3.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定时范围：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0 ~ 99min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4.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转速精度：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±10r/min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5.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加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/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减速率：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1~9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档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6.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电机：变频无刷电机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7.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电源：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AC 220V 50Hz 15A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8.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整机噪音：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≤55dB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9.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重量（不含转头）：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45Kg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10.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外形尺寸：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400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×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495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×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 xml:space="preserve">378mm 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（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L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×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W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×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H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）</w:t>
            </w:r>
          </w:p>
          <w:p>
            <w:pPr>
              <w:spacing w:after="0"/>
              <w:rPr>
                <w:rFonts w:ascii="宋体" w:hAnsi="宋体" w:eastAsia="宋体" w:cs="Arial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11.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配置包括：主机、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12×1.5/2.2ml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转子（共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个），</w:t>
            </w:r>
            <w:r>
              <w:rPr>
                <w:rFonts w:ascii="宋体" w:hAnsi="宋体" w:eastAsia="宋体" w:cs="Arial"/>
                <w:sz w:val="21"/>
                <w:szCs w:val="21"/>
                <w:highlight w:val="none"/>
              </w:rPr>
              <w:t>12</w:t>
            </w:r>
            <w:r>
              <w:rPr>
                <w:rFonts w:hint="eastAsia" w:ascii="宋体" w:hAnsi="宋体" w:eastAsia="宋体" w:cs="Arial"/>
                <w:sz w:val="21"/>
                <w:szCs w:val="21"/>
                <w:highlight w:val="none"/>
              </w:rPr>
              <w:t>×</w:t>
            </w:r>
            <w:r>
              <w:rPr>
                <w:rFonts w:ascii="宋体" w:hAnsi="宋体" w:eastAsia="宋体" w:cs="Arial"/>
                <w:sz w:val="21"/>
                <w:szCs w:val="21"/>
                <w:highlight w:val="none"/>
              </w:rPr>
              <w:t>10ml</w:t>
            </w:r>
            <w:r>
              <w:rPr>
                <w:rFonts w:hint="eastAsia" w:ascii="宋体" w:hAnsi="宋体" w:eastAsia="宋体" w:cs="Arial"/>
                <w:sz w:val="21"/>
                <w:szCs w:val="21"/>
                <w:highlight w:val="none"/>
              </w:rPr>
              <w:t>（共</w:t>
            </w:r>
            <w:r>
              <w:rPr>
                <w:rFonts w:ascii="宋体" w:hAnsi="宋体" w:eastAsia="宋体" w:cs="Arial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宋体" w:hAnsi="宋体" w:eastAsia="宋体" w:cs="Arial"/>
                <w:sz w:val="21"/>
                <w:szCs w:val="21"/>
                <w:highlight w:val="none"/>
              </w:rPr>
              <w:t>个）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特点：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1.JIDI-20D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采用液晶显示，操作方便简洁，显示清晰明了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;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2.JIDI-20D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除电子锁外还设有独特的应急按钮，在断电的时候也可以进行门盖开关；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3.JIDI-20D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采用独有的六边形腔体连接，將电路板全部悬挂起来，具有很好的防潮效果；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4.JIDI-20D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门盖进行开模设计，将密封程度做到最好，大幅度的减少了噪音；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5.JIDI-20D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离心腔采用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304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不锈钢材料具有良好的耐腐蚀作用，经久耐用；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6.JIDI-20D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采用独有的三角连接杆电机固定方式，将电机牢牢地固定在底部，使电机能高速平稳的运转；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7.JIDI-20D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设计独有的前开孔技术，整机维修极为方便。</w:t>
            </w:r>
          </w:p>
          <w:p>
            <w:pPr>
              <w:spacing w:after="0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8.JIDI-20D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配有独有的专用工具，轻松旋转即可完成转头更换。</w:t>
            </w:r>
          </w:p>
        </w:tc>
        <w:tc>
          <w:tcPr>
            <w:tcW w:w="7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8900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2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台</w:t>
            </w: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17800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11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电泳仪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DYY-6C</w:t>
            </w:r>
          </w:p>
        </w:tc>
        <w:tc>
          <w:tcPr>
            <w:tcW w:w="4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after="0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、并联输出：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组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  <w:highlight w:val="none"/>
              </w:rPr>
              <w:t xml:space="preserve"> </w:t>
            </w:r>
          </w:p>
          <w:p>
            <w:pPr>
              <w:spacing w:after="0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、输出范围（显示分辨率）：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  <w:highlight w:val="none"/>
              </w:rPr>
              <w:t xml:space="preserve">6-600V(1V) 4-400mA (1mA) 240W </w:t>
            </w:r>
          </w:p>
          <w:p>
            <w:pPr>
              <w:spacing w:after="0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、外形尺寸（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  <w:highlight w:val="none"/>
              </w:rPr>
              <w:t>W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×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  <w:highlight w:val="none"/>
              </w:rPr>
              <w:t>D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×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  <w:highlight w:val="none"/>
              </w:rPr>
              <w:t>H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）：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  <w:highlight w:val="none"/>
              </w:rPr>
              <w:t>315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×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  <w:highlight w:val="none"/>
              </w:rPr>
              <w:t>290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×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  <w:highlight w:val="none"/>
              </w:rPr>
              <w:t xml:space="preserve">128mm </w:t>
            </w:r>
          </w:p>
          <w:p>
            <w:pPr>
              <w:spacing w:after="0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、重量：约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  <w:highlight w:val="none"/>
              </w:rPr>
              <w:t>5Kg</w:t>
            </w:r>
          </w:p>
        </w:tc>
        <w:tc>
          <w:tcPr>
            <w:tcW w:w="7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3300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台</w:t>
            </w: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6</w:t>
            </w:r>
          </w:p>
        </w:tc>
        <w:tc>
          <w:tcPr>
            <w:tcW w:w="11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电泳槽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DYCP-32A</w:t>
            </w:r>
          </w:p>
        </w:tc>
        <w:tc>
          <w:tcPr>
            <w:tcW w:w="4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桥式设计，节省缓冲液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br w:type="textWrapping"/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2.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耐高温，不变形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br w:type="textWrapping"/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3.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限位功能，操作准确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br w:type="textWrapping"/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4.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高柔韧性导线，确保安全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5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外型尺寸：（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 xml:space="preserve">L 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×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 xml:space="preserve"> W 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×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 xml:space="preserve"> H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）：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 xml:space="preserve">300 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×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 xml:space="preserve"> 162 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×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 xml:space="preserve"> 110mm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6.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凝胶板规格：（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 xml:space="preserve">L 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×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 xml:space="preserve"> W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）：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 xml:space="preserve">160 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×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 xml:space="preserve"> 100mm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7.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试样格：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12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、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16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、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 xml:space="preserve">22 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齿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 xml:space="preserve"> 1.0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、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 xml:space="preserve">2.0mm 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厚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8.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重量：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2kg</w:t>
            </w:r>
          </w:p>
          <w:p>
            <w:pPr>
              <w:spacing w:after="0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9.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缓冲液总容量：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650ml</w:t>
            </w:r>
          </w:p>
        </w:tc>
        <w:tc>
          <w:tcPr>
            <w:tcW w:w="7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1050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台</w:t>
            </w: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1050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7</w:t>
            </w:r>
          </w:p>
        </w:tc>
        <w:tc>
          <w:tcPr>
            <w:tcW w:w="11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三孔独立控温水浴锅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DK-80</w:t>
            </w:r>
          </w:p>
        </w:tc>
        <w:tc>
          <w:tcPr>
            <w:tcW w:w="4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  <w:shd w:val="clear" w:color="auto" w:fill="FFFFFF"/>
              </w:rPr>
              <w:t>1.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  <w:shd w:val="clear" w:color="auto" w:fill="FFFFFF"/>
              </w:rPr>
              <w:t>电源电压</w:t>
            </w:r>
            <w:r>
              <w:rPr>
                <w:rFonts w:ascii="宋体" w:hAnsi="宋体" w:eastAsia="宋体"/>
                <w:sz w:val="21"/>
                <w:szCs w:val="21"/>
                <w:highlight w:val="none"/>
                <w:shd w:val="clear" w:color="auto" w:fill="FFFFFF"/>
              </w:rPr>
              <w:t>:220V 50HZ 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  <w:shd w:val="clear" w:color="auto" w:fill="FFFFFF"/>
              </w:rPr>
              <w:t>2.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  <w:shd w:val="clear" w:color="auto" w:fill="FFFFFF"/>
              </w:rPr>
              <w:t>输入功率</w:t>
            </w:r>
            <w:r>
              <w:rPr>
                <w:rFonts w:ascii="宋体" w:hAnsi="宋体" w:eastAsia="宋体"/>
                <w:sz w:val="21"/>
                <w:szCs w:val="21"/>
                <w:highlight w:val="none"/>
                <w:shd w:val="clear" w:color="auto" w:fill="FFFFFF"/>
              </w:rPr>
              <w:t>:3*300W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  <w:shd w:val="clear" w:color="auto" w:fill="FFFFFF"/>
              </w:rPr>
              <w:t>3.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  <w:shd w:val="clear" w:color="auto" w:fill="FFFFFF"/>
              </w:rPr>
              <w:t>控温范围</w:t>
            </w:r>
            <w:r>
              <w:rPr>
                <w:rFonts w:ascii="宋体" w:hAnsi="宋体" w:eastAsia="宋体"/>
                <w:sz w:val="21"/>
                <w:szCs w:val="21"/>
                <w:highlight w:val="none"/>
                <w:shd w:val="clear" w:color="auto" w:fill="FFFFFF"/>
              </w:rPr>
              <w:t>: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  <w:shd w:val="clear" w:color="auto" w:fill="FFFFFF"/>
              </w:rPr>
              <w:t>室温</w:t>
            </w:r>
            <w:r>
              <w:rPr>
                <w:rFonts w:ascii="宋体" w:hAnsi="宋体" w:eastAsia="宋体"/>
                <w:sz w:val="21"/>
                <w:szCs w:val="21"/>
                <w:highlight w:val="none"/>
                <w:shd w:val="clear" w:color="auto" w:fill="FFFFFF"/>
              </w:rPr>
              <w:t>~100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shd w:val="clear" w:color="auto" w:fill="FFFFFF"/>
              </w:rPr>
              <w:t>℃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  <w:shd w:val="clear" w:color="auto" w:fill="FFFFFF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  <w:shd w:val="clear" w:color="auto" w:fill="FFFFFF"/>
              </w:rPr>
              <w:t>4.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  <w:shd w:val="clear" w:color="auto" w:fill="FFFFFF"/>
              </w:rPr>
              <w:t>恒温波动度</w:t>
            </w:r>
            <w:r>
              <w:rPr>
                <w:rFonts w:ascii="宋体" w:hAnsi="宋体" w:eastAsia="宋体"/>
                <w:sz w:val="21"/>
                <w:szCs w:val="21"/>
                <w:highlight w:val="none"/>
                <w:shd w:val="clear" w:color="auto" w:fill="FFFFFF"/>
              </w:rPr>
              <w:t>: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  <w:shd w:val="clear" w:color="auto" w:fill="FFFFFF"/>
              </w:rPr>
              <w:t>±</w:t>
            </w:r>
            <w:r>
              <w:rPr>
                <w:rFonts w:ascii="宋体" w:hAnsi="宋体" w:eastAsia="宋体"/>
                <w:sz w:val="21"/>
                <w:szCs w:val="21"/>
                <w:highlight w:val="none"/>
                <w:shd w:val="clear" w:color="auto" w:fill="FFFFFF"/>
              </w:rPr>
              <w:t>0.5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shd w:val="clear" w:color="auto" w:fill="FFFFFF"/>
              </w:rPr>
              <w:t>℃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  <w:shd w:val="clear" w:color="auto" w:fill="FFFFFF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  <w:shd w:val="clear" w:color="auto" w:fill="FFFFFF"/>
              </w:rPr>
              <w:t>5.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  <w:shd w:val="clear" w:color="auto" w:fill="FFFFFF"/>
              </w:rPr>
              <w:t>分辨率</w:t>
            </w:r>
            <w:r>
              <w:rPr>
                <w:rFonts w:ascii="宋体" w:hAnsi="宋体" w:eastAsia="宋体"/>
                <w:sz w:val="21"/>
                <w:szCs w:val="21"/>
                <w:highlight w:val="none"/>
                <w:shd w:val="clear" w:color="auto" w:fill="FFFFFF"/>
              </w:rPr>
              <w:t>:0.1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shd w:val="clear" w:color="auto" w:fill="FFFFFF"/>
              </w:rPr>
              <w:t>℃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  <w:shd w:val="clear" w:color="auto" w:fill="FFFFFF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  <w:shd w:val="clear" w:color="auto" w:fill="FFFFFF"/>
              </w:rPr>
              <w:t>6.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  <w:shd w:val="clear" w:color="auto" w:fill="FFFFFF"/>
              </w:rPr>
              <w:t>容积</w:t>
            </w:r>
            <w:r>
              <w:rPr>
                <w:rFonts w:ascii="宋体" w:hAnsi="宋体" w:eastAsia="宋体"/>
                <w:sz w:val="21"/>
                <w:szCs w:val="21"/>
                <w:highlight w:val="none"/>
                <w:shd w:val="clear" w:color="auto" w:fill="FFFFFF"/>
              </w:rPr>
              <w:t>:2.1L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  <w:shd w:val="clear" w:color="auto" w:fill="FFFFFF"/>
              </w:rPr>
              <w:t>×</w:t>
            </w:r>
            <w:r>
              <w:rPr>
                <w:rFonts w:ascii="宋体" w:hAnsi="宋体" w:eastAsia="宋体"/>
                <w:sz w:val="21"/>
                <w:szCs w:val="21"/>
                <w:highlight w:val="none"/>
                <w:shd w:val="clear" w:color="auto" w:fill="FFFFFF"/>
              </w:rPr>
              <w:t>3</w:t>
            </w:r>
          </w:p>
          <w:p>
            <w:pPr>
              <w:spacing w:after="0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  <w:shd w:val="clear" w:color="auto" w:fill="FFFFFF"/>
              </w:rPr>
              <w:t>7.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  <w:shd w:val="clear" w:color="auto" w:fill="FFFFFF"/>
              </w:rPr>
              <w:t>内胆尺寸（</w:t>
            </w:r>
            <w:r>
              <w:rPr>
                <w:rFonts w:ascii="宋体" w:hAnsi="宋体" w:eastAsia="宋体"/>
                <w:sz w:val="21"/>
                <w:szCs w:val="21"/>
                <w:highlight w:val="none"/>
                <w:shd w:val="clear" w:color="auto" w:fill="FFFFFF"/>
              </w:rPr>
              <w:t>mm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  <w:shd w:val="clear" w:color="auto" w:fill="FFFFFF"/>
              </w:rPr>
              <w:t>）</w:t>
            </w:r>
            <w:r>
              <w:rPr>
                <w:rFonts w:ascii="宋体" w:hAnsi="宋体" w:eastAsia="宋体"/>
                <w:sz w:val="21"/>
                <w:szCs w:val="21"/>
                <w:highlight w:val="none"/>
                <w:shd w:val="clear" w:color="auto" w:fill="FFFFFF"/>
              </w:rPr>
              <w:t>W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  <w:shd w:val="clear" w:color="auto" w:fill="FFFFFF"/>
              </w:rPr>
              <w:t>×</w:t>
            </w:r>
            <w:r>
              <w:rPr>
                <w:rFonts w:ascii="宋体" w:hAnsi="宋体" w:eastAsia="宋体"/>
                <w:sz w:val="21"/>
                <w:szCs w:val="21"/>
                <w:highlight w:val="none"/>
                <w:shd w:val="clear" w:color="auto" w:fill="FFFFFF"/>
              </w:rPr>
              <w:t>D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  <w:shd w:val="clear" w:color="auto" w:fill="FFFFFF"/>
              </w:rPr>
              <w:t>×</w:t>
            </w:r>
            <w:r>
              <w:rPr>
                <w:rFonts w:ascii="宋体" w:hAnsi="宋体" w:eastAsia="宋体"/>
                <w:sz w:val="21"/>
                <w:szCs w:val="21"/>
                <w:highlight w:val="none"/>
                <w:shd w:val="clear" w:color="auto" w:fill="FFFFFF"/>
              </w:rPr>
              <w:t>H:160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  <w:shd w:val="clear" w:color="auto" w:fill="FFFFFF"/>
              </w:rPr>
              <w:t>×</w:t>
            </w:r>
            <w:r>
              <w:rPr>
                <w:rFonts w:ascii="宋体" w:hAnsi="宋体" w:eastAsia="宋体"/>
                <w:sz w:val="21"/>
                <w:szCs w:val="21"/>
                <w:highlight w:val="none"/>
                <w:shd w:val="clear" w:color="auto" w:fill="FFFFFF"/>
              </w:rPr>
              <w:t>160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  <w:shd w:val="clear" w:color="auto" w:fill="FFFFFF"/>
              </w:rPr>
              <w:t>×</w:t>
            </w:r>
            <w:r>
              <w:rPr>
                <w:rFonts w:ascii="宋体" w:hAnsi="宋体" w:eastAsia="宋体"/>
                <w:sz w:val="21"/>
                <w:szCs w:val="21"/>
                <w:highlight w:val="none"/>
                <w:shd w:val="clear" w:color="auto" w:fill="FFFFFF"/>
              </w:rPr>
              <w:t>120×3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  <w:shd w:val="clear" w:color="auto" w:fill="FFFFFF"/>
              </w:rPr>
              <w:t>孔</w:t>
            </w:r>
          </w:p>
        </w:tc>
        <w:tc>
          <w:tcPr>
            <w:tcW w:w="7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  <w:lang w:val="en-US" w:eastAsia="zh-CN"/>
              </w:rPr>
              <w:t>300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台</w:t>
            </w: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8</w:t>
            </w:r>
          </w:p>
        </w:tc>
        <w:tc>
          <w:tcPr>
            <w:tcW w:w="11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振荡器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TS-100C</w:t>
            </w:r>
          </w:p>
        </w:tc>
        <w:tc>
          <w:tcPr>
            <w:tcW w:w="4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旋转频率：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30-300rpm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2.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频率精度：±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 rpm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3.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摆振幅度：￠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26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4.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标准配置：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100ml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×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9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支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5.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最大容量：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50ml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×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12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支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100ml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×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9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支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6.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托盘尺寸：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295mm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×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245mm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7.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定时范围：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～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999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小时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8.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温控范围：环境温度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+5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℃～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60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℃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9.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温控精度：±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0.1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℃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10.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显示方式：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LCD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液晶显示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11.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托盘数量：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块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12.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容积：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320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×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295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×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190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（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mm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）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13.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净重：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31KG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14.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功率：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220W</w:t>
            </w:r>
          </w:p>
          <w:p>
            <w:pPr>
              <w:spacing w:after="0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15.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电源：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AC220V-240V 50HZ~60HZ</w:t>
            </w:r>
          </w:p>
        </w:tc>
        <w:tc>
          <w:tcPr>
            <w:tcW w:w="7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5750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台</w:t>
            </w: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5750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9</w:t>
            </w:r>
          </w:p>
        </w:tc>
        <w:tc>
          <w:tcPr>
            <w:tcW w:w="11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恒温培养箱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ascii="宋体" w:hAnsi="宋体" w:eastAsia="宋体"/>
                <w:highlight w:val="none"/>
              </w:rPr>
              <w:t>JIDI-9082</w:t>
            </w:r>
          </w:p>
        </w:tc>
        <w:tc>
          <w:tcPr>
            <w:tcW w:w="4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after="0"/>
              <w:rPr>
                <w:rFonts w:ascii="宋体" w:hAnsi="宋体" w:eastAsia="宋体"/>
                <w:highlight w:val="none"/>
              </w:rPr>
            </w:pPr>
            <w:r>
              <w:rPr>
                <w:rFonts w:ascii="宋体" w:hAnsi="宋体" w:eastAsia="宋体"/>
                <w:highlight w:val="none"/>
              </w:rPr>
              <w:t>*1.</w:t>
            </w:r>
            <w:r>
              <w:rPr>
                <w:rFonts w:hint="eastAsia" w:ascii="宋体" w:hAnsi="宋体" w:eastAsia="宋体"/>
                <w:highlight w:val="none"/>
              </w:rPr>
              <w:t>采用</w:t>
            </w:r>
            <w:r>
              <w:rPr>
                <w:rFonts w:ascii="宋体" w:hAnsi="宋体" w:eastAsia="宋体"/>
                <w:highlight w:val="none"/>
              </w:rPr>
              <w:t>JD</w:t>
            </w:r>
            <w:r>
              <w:rPr>
                <w:rFonts w:hint="eastAsia" w:ascii="宋体" w:hAnsi="宋体" w:eastAsia="宋体"/>
                <w:highlight w:val="none"/>
              </w:rPr>
              <w:t>微电脑智能控温仪，具有设定、测定温度双数字显示和</w:t>
            </w:r>
            <w:r>
              <w:rPr>
                <w:rFonts w:ascii="宋体" w:hAnsi="宋体" w:eastAsia="宋体"/>
                <w:highlight w:val="none"/>
              </w:rPr>
              <w:t>PID</w:t>
            </w:r>
            <w:r>
              <w:rPr>
                <w:rFonts w:hint="eastAsia" w:ascii="宋体" w:hAnsi="宋体" w:eastAsia="宋体"/>
                <w:highlight w:val="none"/>
              </w:rPr>
              <w:t>自整功能，控温精确、可靠。</w:t>
            </w:r>
          </w:p>
          <w:p>
            <w:pPr>
              <w:spacing w:after="0"/>
              <w:rPr>
                <w:rFonts w:ascii="宋体" w:hAnsi="宋体" w:eastAsia="宋体"/>
                <w:highlight w:val="none"/>
              </w:rPr>
            </w:pPr>
            <w:r>
              <w:rPr>
                <w:rFonts w:ascii="宋体" w:hAnsi="宋体" w:eastAsia="宋体"/>
                <w:highlight w:val="none"/>
              </w:rPr>
              <w:t>2.</w:t>
            </w:r>
            <w:r>
              <w:rPr>
                <w:rFonts w:hint="eastAsia" w:ascii="宋体" w:hAnsi="宋体" w:eastAsia="宋体"/>
                <w:highlight w:val="none"/>
              </w:rPr>
              <w:t>内外双重门结构，温度波动小。内门采用全钢化玻璃门，观察方便明了，箱门打开时，微风循环加热自动停止，无过冲之弊。</w:t>
            </w:r>
          </w:p>
          <w:p>
            <w:pPr>
              <w:spacing w:after="0"/>
              <w:rPr>
                <w:rFonts w:ascii="宋体" w:hAnsi="宋体" w:eastAsia="宋体"/>
                <w:highlight w:val="none"/>
              </w:rPr>
            </w:pPr>
            <w:r>
              <w:rPr>
                <w:rFonts w:ascii="宋体" w:hAnsi="宋体" w:eastAsia="宋体"/>
                <w:highlight w:val="none"/>
              </w:rPr>
              <w:t>3.</w:t>
            </w:r>
            <w:r>
              <w:rPr>
                <w:rFonts w:hint="eastAsia" w:ascii="宋体" w:hAnsi="宋体" w:eastAsia="宋体"/>
                <w:highlight w:val="none"/>
              </w:rPr>
              <w:t>采用优质不锈钢内胆，四角半圆弧易清洁。</w:t>
            </w:r>
          </w:p>
          <w:p>
            <w:pPr>
              <w:spacing w:after="0"/>
              <w:rPr>
                <w:rFonts w:ascii="宋体" w:hAnsi="宋体" w:eastAsia="宋体"/>
                <w:highlight w:val="none"/>
              </w:rPr>
            </w:pPr>
            <w:r>
              <w:rPr>
                <w:rFonts w:ascii="宋体" w:hAnsi="宋体" w:eastAsia="宋体"/>
                <w:highlight w:val="none"/>
              </w:rPr>
              <w:t>4.</w:t>
            </w:r>
            <w:r>
              <w:rPr>
                <w:rFonts w:hint="eastAsia" w:ascii="宋体" w:hAnsi="宋体" w:eastAsia="宋体"/>
                <w:highlight w:val="none"/>
              </w:rPr>
              <w:t>电源电压：</w:t>
            </w:r>
            <w:r>
              <w:rPr>
                <w:rFonts w:ascii="宋体" w:hAnsi="宋体" w:eastAsia="宋体"/>
                <w:highlight w:val="none"/>
              </w:rPr>
              <w:t>220V  50HZ</w:t>
            </w:r>
          </w:p>
          <w:p>
            <w:pPr>
              <w:spacing w:after="0"/>
              <w:rPr>
                <w:rFonts w:ascii="宋体" w:hAnsi="宋体" w:eastAsia="宋体"/>
                <w:highlight w:val="none"/>
              </w:rPr>
            </w:pPr>
            <w:r>
              <w:rPr>
                <w:rFonts w:ascii="宋体" w:hAnsi="宋体" w:eastAsia="宋体"/>
                <w:highlight w:val="none"/>
              </w:rPr>
              <w:t>5.</w:t>
            </w:r>
            <w:r>
              <w:rPr>
                <w:rFonts w:hint="eastAsia" w:ascii="宋体" w:hAnsi="宋体" w:eastAsia="宋体"/>
                <w:highlight w:val="none"/>
              </w:rPr>
              <w:t>消耗功率：</w:t>
            </w:r>
            <w:r>
              <w:rPr>
                <w:rFonts w:ascii="宋体" w:hAnsi="宋体" w:eastAsia="宋体"/>
                <w:highlight w:val="none"/>
              </w:rPr>
              <w:t>360W</w:t>
            </w:r>
          </w:p>
          <w:p>
            <w:pPr>
              <w:spacing w:after="0"/>
              <w:rPr>
                <w:rFonts w:ascii="宋体" w:hAnsi="宋体" w:eastAsia="宋体"/>
                <w:highlight w:val="none"/>
              </w:rPr>
            </w:pPr>
            <w:r>
              <w:rPr>
                <w:rFonts w:ascii="宋体" w:hAnsi="宋体" w:eastAsia="宋体"/>
                <w:highlight w:val="none"/>
              </w:rPr>
              <w:t>6.</w:t>
            </w:r>
            <w:r>
              <w:rPr>
                <w:rFonts w:hint="eastAsia" w:ascii="宋体" w:hAnsi="宋体" w:eastAsia="宋体"/>
                <w:highlight w:val="none"/>
              </w:rPr>
              <w:t>控温范围：</w:t>
            </w:r>
            <w:r>
              <w:rPr>
                <w:rFonts w:ascii="宋体" w:hAnsi="宋体" w:eastAsia="宋体"/>
                <w:highlight w:val="none"/>
              </w:rPr>
              <w:t>RT+5</w:t>
            </w:r>
            <w:r>
              <w:rPr>
                <w:rFonts w:hint="eastAsia" w:ascii="宋体" w:hAnsi="宋体" w:eastAsia="宋体"/>
                <w:highlight w:val="none"/>
              </w:rPr>
              <w:t>～</w:t>
            </w:r>
            <w:r>
              <w:rPr>
                <w:rFonts w:ascii="宋体" w:hAnsi="宋体" w:eastAsia="宋体"/>
                <w:highlight w:val="none"/>
              </w:rPr>
              <w:t>65</w:t>
            </w:r>
            <w:r>
              <w:rPr>
                <w:rFonts w:hint="eastAsia" w:ascii="宋体" w:hAnsi="宋体" w:eastAsia="宋体"/>
                <w:highlight w:val="none"/>
              </w:rPr>
              <w:t>℃</w:t>
            </w:r>
          </w:p>
          <w:p>
            <w:pPr>
              <w:spacing w:after="0"/>
              <w:rPr>
                <w:rFonts w:ascii="宋体" w:hAnsi="宋体" w:eastAsia="宋体"/>
                <w:highlight w:val="none"/>
              </w:rPr>
            </w:pPr>
            <w:r>
              <w:rPr>
                <w:rFonts w:ascii="宋体" w:hAnsi="宋体" w:eastAsia="宋体"/>
                <w:highlight w:val="none"/>
              </w:rPr>
              <w:t>7.</w:t>
            </w:r>
            <w:r>
              <w:rPr>
                <w:rFonts w:hint="eastAsia" w:ascii="宋体" w:hAnsi="宋体" w:eastAsia="宋体"/>
                <w:highlight w:val="none"/>
              </w:rPr>
              <w:t>温度分辨率：</w:t>
            </w:r>
            <w:r>
              <w:rPr>
                <w:rFonts w:ascii="宋体" w:hAnsi="宋体" w:eastAsia="宋体"/>
                <w:highlight w:val="none"/>
              </w:rPr>
              <w:t>0.1</w:t>
            </w:r>
            <w:r>
              <w:rPr>
                <w:rFonts w:hint="eastAsia" w:ascii="宋体" w:hAnsi="宋体" w:eastAsia="宋体"/>
                <w:highlight w:val="none"/>
              </w:rPr>
              <w:t>℃</w:t>
            </w:r>
          </w:p>
          <w:p>
            <w:pPr>
              <w:spacing w:after="0"/>
              <w:rPr>
                <w:rFonts w:ascii="宋体" w:hAnsi="宋体" w:eastAsia="宋体"/>
                <w:highlight w:val="none"/>
              </w:rPr>
            </w:pPr>
            <w:r>
              <w:rPr>
                <w:rFonts w:ascii="宋体" w:hAnsi="宋体" w:eastAsia="宋体"/>
                <w:highlight w:val="none"/>
              </w:rPr>
              <w:t>8.</w:t>
            </w:r>
            <w:r>
              <w:rPr>
                <w:rFonts w:hint="eastAsia" w:ascii="宋体" w:hAnsi="宋体" w:eastAsia="宋体"/>
                <w:highlight w:val="none"/>
              </w:rPr>
              <w:t>恒温波动度：±</w:t>
            </w:r>
            <w:r>
              <w:rPr>
                <w:rFonts w:ascii="宋体" w:hAnsi="宋体" w:eastAsia="宋体"/>
                <w:highlight w:val="none"/>
              </w:rPr>
              <w:t>0.</w:t>
            </w:r>
            <w:r>
              <w:rPr>
                <w:rFonts w:hint="eastAsia" w:ascii="宋体" w:hAnsi="宋体" w:eastAsia="宋体"/>
                <w:highlight w:val="none"/>
              </w:rPr>
              <w:t>４℃</w:t>
            </w:r>
          </w:p>
          <w:p>
            <w:pPr>
              <w:spacing w:after="0"/>
              <w:rPr>
                <w:rFonts w:ascii="宋体" w:hAnsi="宋体" w:eastAsia="宋体"/>
                <w:highlight w:val="none"/>
              </w:rPr>
            </w:pPr>
            <w:r>
              <w:rPr>
                <w:rFonts w:ascii="宋体" w:hAnsi="宋体" w:eastAsia="宋体"/>
                <w:highlight w:val="none"/>
              </w:rPr>
              <w:t>9.</w:t>
            </w:r>
            <w:r>
              <w:rPr>
                <w:rFonts w:hint="eastAsia" w:ascii="宋体" w:hAnsi="宋体" w:eastAsia="宋体"/>
                <w:highlight w:val="none"/>
              </w:rPr>
              <w:t>内胆尺寸（</w:t>
            </w:r>
            <w:r>
              <w:rPr>
                <w:rFonts w:ascii="宋体" w:hAnsi="宋体" w:eastAsia="宋体"/>
                <w:highlight w:val="none"/>
              </w:rPr>
              <w:t>mm</w:t>
            </w:r>
            <w:r>
              <w:rPr>
                <w:rFonts w:hint="eastAsia" w:ascii="宋体" w:hAnsi="宋体" w:eastAsia="宋体"/>
                <w:highlight w:val="none"/>
              </w:rPr>
              <w:t>）：</w:t>
            </w:r>
            <w:r>
              <w:rPr>
                <w:rFonts w:ascii="宋体" w:hAnsi="宋体" w:eastAsia="宋体"/>
                <w:highlight w:val="none"/>
              </w:rPr>
              <w:t>400</w:t>
            </w:r>
            <w:r>
              <w:rPr>
                <w:rFonts w:hint="eastAsia" w:ascii="宋体" w:hAnsi="宋体" w:eastAsia="宋体"/>
                <w:highlight w:val="none"/>
              </w:rPr>
              <w:t>×</w:t>
            </w:r>
            <w:r>
              <w:rPr>
                <w:rFonts w:ascii="宋体" w:hAnsi="宋体" w:eastAsia="宋体"/>
                <w:highlight w:val="none"/>
              </w:rPr>
              <w:t>400</w:t>
            </w:r>
            <w:r>
              <w:rPr>
                <w:rFonts w:hint="eastAsia" w:ascii="宋体" w:hAnsi="宋体" w:eastAsia="宋体"/>
                <w:highlight w:val="none"/>
              </w:rPr>
              <w:t>×</w:t>
            </w:r>
            <w:r>
              <w:rPr>
                <w:rFonts w:ascii="宋体" w:hAnsi="宋体" w:eastAsia="宋体"/>
                <w:highlight w:val="none"/>
              </w:rPr>
              <w:t>500</w:t>
            </w:r>
          </w:p>
          <w:p>
            <w:pPr>
              <w:spacing w:after="0"/>
              <w:rPr>
                <w:rFonts w:ascii="宋体" w:hAnsi="宋体" w:eastAsia="宋体"/>
                <w:highlight w:val="none"/>
              </w:rPr>
            </w:pPr>
            <w:r>
              <w:rPr>
                <w:rFonts w:ascii="宋体" w:hAnsi="宋体" w:eastAsia="宋体"/>
                <w:highlight w:val="none"/>
              </w:rPr>
              <w:t>10.</w:t>
            </w:r>
            <w:r>
              <w:rPr>
                <w:rFonts w:hint="eastAsia" w:ascii="宋体" w:hAnsi="宋体" w:eastAsia="宋体"/>
                <w:highlight w:val="none"/>
              </w:rPr>
              <w:t>外型尺寸（</w:t>
            </w:r>
            <w:r>
              <w:rPr>
                <w:rFonts w:ascii="宋体" w:hAnsi="宋体" w:eastAsia="宋体"/>
                <w:highlight w:val="none"/>
              </w:rPr>
              <w:t>mm</w:t>
            </w:r>
            <w:r>
              <w:rPr>
                <w:rFonts w:hint="eastAsia" w:ascii="宋体" w:hAnsi="宋体" w:eastAsia="宋体"/>
                <w:highlight w:val="none"/>
              </w:rPr>
              <w:t>）：</w:t>
            </w:r>
            <w:r>
              <w:rPr>
                <w:rFonts w:ascii="宋体" w:hAnsi="宋体" w:eastAsia="宋体"/>
                <w:highlight w:val="none"/>
              </w:rPr>
              <w:t>547</w:t>
            </w:r>
            <w:r>
              <w:rPr>
                <w:rFonts w:hint="eastAsia" w:ascii="宋体" w:hAnsi="宋体" w:eastAsia="宋体"/>
                <w:highlight w:val="none"/>
              </w:rPr>
              <w:t>×</w:t>
            </w:r>
            <w:r>
              <w:rPr>
                <w:rFonts w:ascii="宋体" w:hAnsi="宋体" w:eastAsia="宋体"/>
                <w:highlight w:val="none"/>
              </w:rPr>
              <w:t>582</w:t>
            </w:r>
            <w:r>
              <w:rPr>
                <w:rFonts w:hint="eastAsia" w:ascii="宋体" w:hAnsi="宋体" w:eastAsia="宋体"/>
                <w:highlight w:val="none"/>
              </w:rPr>
              <w:t>×</w:t>
            </w:r>
            <w:r>
              <w:rPr>
                <w:rFonts w:ascii="宋体" w:hAnsi="宋体" w:eastAsia="宋体"/>
                <w:highlight w:val="none"/>
              </w:rPr>
              <w:t>800</w:t>
            </w:r>
          </w:p>
          <w:p>
            <w:pPr>
              <w:spacing w:after="0"/>
              <w:rPr>
                <w:rFonts w:ascii="宋体" w:hAnsi="宋体" w:eastAsia="宋体"/>
                <w:highlight w:val="none"/>
              </w:rPr>
            </w:pPr>
            <w:r>
              <w:rPr>
                <w:rFonts w:ascii="宋体" w:hAnsi="宋体" w:eastAsia="宋体"/>
                <w:highlight w:val="none"/>
              </w:rPr>
              <w:t>11.</w:t>
            </w:r>
            <w:r>
              <w:rPr>
                <w:rFonts w:hint="eastAsia" w:ascii="宋体" w:hAnsi="宋体" w:eastAsia="宋体"/>
                <w:highlight w:val="none"/>
              </w:rPr>
              <w:t>容积：</w:t>
            </w:r>
            <w:r>
              <w:rPr>
                <w:rFonts w:ascii="宋体" w:hAnsi="宋体" w:eastAsia="宋体"/>
                <w:highlight w:val="none"/>
              </w:rPr>
              <w:t>80L</w:t>
            </w:r>
          </w:p>
          <w:p>
            <w:pPr>
              <w:spacing w:after="0"/>
              <w:rPr>
                <w:rFonts w:ascii="宋体" w:hAnsi="宋体" w:eastAsia="宋体"/>
                <w:highlight w:val="none"/>
              </w:rPr>
            </w:pPr>
            <w:r>
              <w:rPr>
                <w:rFonts w:ascii="宋体" w:hAnsi="宋体" w:eastAsia="宋体"/>
                <w:highlight w:val="none"/>
              </w:rPr>
              <w:t>12.</w:t>
            </w:r>
            <w:r>
              <w:rPr>
                <w:rFonts w:hint="eastAsia" w:ascii="宋体" w:hAnsi="宋体" w:eastAsia="宋体"/>
                <w:highlight w:val="none"/>
              </w:rPr>
              <w:t>搁板：</w:t>
            </w:r>
            <w:r>
              <w:rPr>
                <w:rFonts w:ascii="宋体" w:hAnsi="宋体" w:eastAsia="宋体"/>
                <w:highlight w:val="none"/>
              </w:rPr>
              <w:t>2Pcs</w:t>
            </w:r>
          </w:p>
          <w:p>
            <w:pPr>
              <w:spacing w:after="0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ascii="宋体" w:hAnsi="宋体" w:eastAsia="宋体"/>
                <w:highlight w:val="none"/>
              </w:rPr>
              <w:t>13.</w:t>
            </w:r>
            <w:r>
              <w:rPr>
                <w:rFonts w:hint="eastAsia" w:ascii="宋体" w:hAnsi="宋体" w:eastAsia="宋体"/>
                <w:highlight w:val="none"/>
              </w:rPr>
              <w:t>定时范围：</w:t>
            </w:r>
            <w:r>
              <w:rPr>
                <w:rFonts w:ascii="宋体" w:hAnsi="宋体" w:eastAsia="宋体"/>
                <w:highlight w:val="none"/>
              </w:rPr>
              <w:t>1</w:t>
            </w:r>
            <w:r>
              <w:rPr>
                <w:rFonts w:hint="eastAsia" w:ascii="宋体" w:hAnsi="宋体" w:eastAsia="宋体"/>
                <w:highlight w:val="none"/>
              </w:rPr>
              <w:t>～</w:t>
            </w:r>
            <w:r>
              <w:rPr>
                <w:rFonts w:ascii="宋体" w:hAnsi="宋体" w:eastAsia="宋体"/>
                <w:highlight w:val="none"/>
              </w:rPr>
              <w:t>9999min</w:t>
            </w:r>
          </w:p>
        </w:tc>
        <w:tc>
          <w:tcPr>
            <w:tcW w:w="7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4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00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台</w:t>
            </w: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11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电子分析天平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FA1004</w:t>
            </w:r>
          </w:p>
        </w:tc>
        <w:tc>
          <w:tcPr>
            <w:tcW w:w="4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最大称量：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100g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2.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最小称量：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0.1mg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3.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称盘尺寸：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90mm</w:t>
            </w:r>
          </w:p>
          <w:p>
            <w:pPr>
              <w:spacing w:after="0"/>
              <w:rPr>
                <w:rFonts w:ascii="宋体" w:hAnsi="宋体" w:eastAsia="宋体"/>
                <w:highlight w:val="none"/>
              </w:rPr>
            </w:pPr>
            <w:r>
              <w:rPr>
                <w:rFonts w:ascii="宋体" w:hAnsi="宋体" w:eastAsia="宋体"/>
                <w:highlight w:val="none"/>
              </w:rPr>
              <w:t>4.</w:t>
            </w:r>
            <w:r>
              <w:rPr>
                <w:rFonts w:hint="eastAsia" w:ascii="宋体" w:hAnsi="宋体" w:eastAsia="宋体"/>
                <w:highlight w:val="none"/>
              </w:rPr>
              <w:t>源自德国技术，经过多年改进及发展，现已成为国内电磁力平衡式电子天平代表产品之一</w:t>
            </w:r>
          </w:p>
          <w:p>
            <w:pPr>
              <w:spacing w:after="0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ascii="宋体" w:hAnsi="宋体" w:eastAsia="宋体"/>
                <w:highlight w:val="none"/>
              </w:rPr>
              <w:t>5.</w:t>
            </w:r>
            <w:r>
              <w:rPr>
                <w:rFonts w:hint="eastAsia" w:ascii="宋体" w:hAnsi="宋体" w:eastAsia="宋体"/>
                <w:highlight w:val="none"/>
              </w:rPr>
              <w:t>采用新一代的获专利一体连杆式电磁力平衡传感器，较同类产品，稳定度、线性、重复性显著提高内部电路经过特殊优化，使用</w:t>
            </w:r>
            <w:r>
              <w:rPr>
                <w:rFonts w:hint="eastAsia" w:ascii="宋体" w:hAnsi="宋体" w:eastAsia="宋体"/>
                <w:highlight w:val="none"/>
                <w:lang w:eastAsia="zh-CN"/>
              </w:rPr>
              <w:t>优质</w:t>
            </w:r>
            <w:r>
              <w:rPr>
                <w:rFonts w:hint="eastAsia" w:ascii="宋体" w:hAnsi="宋体" w:eastAsia="宋体"/>
                <w:highlight w:val="none"/>
              </w:rPr>
              <w:t>元件，提高了运算性能及抗干扰能力</w:t>
            </w:r>
          </w:p>
        </w:tc>
        <w:tc>
          <w:tcPr>
            <w:tcW w:w="7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3220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台</w:t>
            </w: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3220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11</w:t>
            </w:r>
          </w:p>
        </w:tc>
        <w:tc>
          <w:tcPr>
            <w:tcW w:w="11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电子天平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JY6002</w:t>
            </w:r>
          </w:p>
        </w:tc>
        <w:tc>
          <w:tcPr>
            <w:tcW w:w="4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1.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最大称量：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600g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2.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最小称量：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 xml:space="preserve">10mg 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3.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称盘尺寸：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ф125mm</w:t>
            </w:r>
          </w:p>
          <w:p>
            <w:pPr>
              <w:spacing w:after="0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4.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电源：</w:t>
            </w:r>
            <w:r>
              <w:rPr>
                <w:rFonts w:ascii="宋体" w:hAnsi="宋体" w:eastAsia="宋体"/>
                <w:sz w:val="21"/>
                <w:szCs w:val="21"/>
                <w:highlight w:val="none"/>
              </w:rPr>
              <w:t>9-12V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电源适配器</w:t>
            </w:r>
          </w:p>
        </w:tc>
        <w:tc>
          <w:tcPr>
            <w:tcW w:w="7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highlight w:val="none"/>
                <w:lang w:val="en-US" w:eastAsia="zh-CN"/>
              </w:rPr>
              <w:t>900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/>
                <w:sz w:val="21"/>
                <w:szCs w:val="21"/>
                <w:highlight w:val="none"/>
              </w:rPr>
              <w:t>台</w:t>
            </w: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82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000000"/>
                <w:kern w:val="2"/>
                <w:sz w:val="21"/>
                <w:szCs w:val="21"/>
                <w:highlight w:val="none"/>
                <w:u w:color="000000"/>
              </w:rPr>
            </w:pPr>
            <w:r>
              <w:rPr>
                <w:rFonts w:hint="eastAsia"/>
                <w:color w:val="000000"/>
                <w:kern w:val="2"/>
                <w:sz w:val="21"/>
                <w:szCs w:val="21"/>
                <w:highlight w:val="none"/>
                <w:u w:color="000000"/>
              </w:rPr>
              <w:t>合计</w:t>
            </w:r>
          </w:p>
        </w:tc>
        <w:tc>
          <w:tcPr>
            <w:tcW w:w="8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color w:val="000000"/>
                <w:kern w:val="2"/>
                <w:sz w:val="21"/>
                <w:szCs w:val="21"/>
                <w:highlight w:val="none"/>
                <w:u w:color="00000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  <w:t>95220</w:t>
            </w:r>
          </w:p>
        </w:tc>
      </w:tr>
    </w:tbl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spacing w:line="360" w:lineRule="auto"/>
        <w:ind w:firstLine="720" w:firstLineChars="300"/>
        <w:rPr>
          <w:rFonts w:hint="eastAsia" w:cs="Times New Roman"/>
          <w:highlight w:val="cyan"/>
          <w:u w:val="none"/>
          <w:lang w:val="zh-TW"/>
        </w:rPr>
      </w:pPr>
      <w:r>
        <w:rPr>
          <w:rFonts w:hint="eastAsia" w:cs="Times New Roman"/>
          <w:u w:val="none"/>
          <w:lang w:val="zh-TW"/>
        </w:rPr>
        <w:t>注：以上报价包含了</w:t>
      </w:r>
      <w:r>
        <w:rPr>
          <w:rFonts w:hint="eastAsia" w:cs="Times New Roman"/>
          <w:u w:val="none"/>
          <w:lang w:val="zh-TW" w:eastAsia="zh-CN"/>
        </w:rPr>
        <w:t>税费、运费、安装、三年质保等全部费用。</w:t>
      </w:r>
    </w:p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 w:eastAsia="zh-CN"/>
        </w:rPr>
      </w:pPr>
    </w:p>
    <w:sectPr>
      <w:pgSz w:w="11900" w:h="16840"/>
      <w:pgMar w:top="851" w:right="680" w:bottom="851" w:left="6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1497135"/>
    <w:rsid w:val="01ED312C"/>
    <w:rsid w:val="086C2185"/>
    <w:rsid w:val="0EB645D1"/>
    <w:rsid w:val="0EFC153A"/>
    <w:rsid w:val="15812212"/>
    <w:rsid w:val="1B680F8A"/>
    <w:rsid w:val="21AE19E6"/>
    <w:rsid w:val="30B5175C"/>
    <w:rsid w:val="334D4991"/>
    <w:rsid w:val="342A7786"/>
    <w:rsid w:val="350E33C4"/>
    <w:rsid w:val="39927CD0"/>
    <w:rsid w:val="3A7F3F25"/>
    <w:rsid w:val="3C4057FE"/>
    <w:rsid w:val="4A20113D"/>
    <w:rsid w:val="4AE01A8B"/>
    <w:rsid w:val="5793093E"/>
    <w:rsid w:val="591C7DF3"/>
    <w:rsid w:val="5C3A3A28"/>
    <w:rsid w:val="5E1C151E"/>
    <w:rsid w:val="60823C58"/>
    <w:rsid w:val="619769BF"/>
    <w:rsid w:val="61F65FA2"/>
    <w:rsid w:val="6202525B"/>
    <w:rsid w:val="6817287E"/>
    <w:rsid w:val="758A3A3B"/>
    <w:rsid w:val="76A35D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1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2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4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5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9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7">
    <w:name w:val="Default Paragraph Font"/>
    <w:unhideWhenUsed/>
    <w:qFormat/>
    <w:uiPriority w:val="1"/>
  </w:style>
  <w:style w:type="table" w:default="1" w:styleId="2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1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Normal (Web)"/>
    <w:basedOn w:val="1"/>
    <w:unhideWhenUsed/>
    <w:qFormat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cs="宋体"/>
      <w:sz w:val="24"/>
      <w:szCs w:val="24"/>
      <w:lang w:bidi="ar-SA"/>
    </w:rPr>
  </w:style>
  <w:style w:type="paragraph" w:styleId="16">
    <w:name w:val="Title"/>
    <w:basedOn w:val="1"/>
    <w:next w:val="1"/>
    <w:link w:val="30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8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19">
    <w:name w:val="Emphasis"/>
    <w:qFormat/>
    <w:uiPriority w:val="20"/>
    <w:rPr>
      <w:caps/>
      <w:spacing w:val="5"/>
      <w:sz w:val="20"/>
      <w:szCs w:val="20"/>
    </w:rPr>
  </w:style>
  <w:style w:type="character" w:customStyle="1" w:styleId="21">
    <w:name w:val="标题 1 Char"/>
    <w:basedOn w:val="17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2">
    <w:name w:val="标题 2 Char"/>
    <w:basedOn w:val="17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3">
    <w:name w:val="标题 3 Char"/>
    <w:basedOn w:val="17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4">
    <w:name w:val="标题 4 Char"/>
    <w:basedOn w:val="17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5 Char"/>
    <w:basedOn w:val="17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6">
    <w:name w:val="标题 6 Char"/>
    <w:basedOn w:val="17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7">
    <w:name w:val="标题 7 Char"/>
    <w:basedOn w:val="17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8">
    <w:name w:val="标题 8 Char"/>
    <w:basedOn w:val="17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9">
    <w:name w:val="标题 9 Char"/>
    <w:basedOn w:val="17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30">
    <w:name w:val="标题 Char"/>
    <w:basedOn w:val="17"/>
    <w:link w:val="16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1">
    <w:name w:val="副标题 Char"/>
    <w:basedOn w:val="17"/>
    <w:link w:val="14"/>
    <w:qFormat/>
    <w:uiPriority w:val="11"/>
    <w:rPr>
      <w:caps/>
      <w:spacing w:val="20"/>
      <w:sz w:val="18"/>
      <w:szCs w:val="18"/>
    </w:rPr>
  </w:style>
  <w:style w:type="paragraph" w:customStyle="1" w:styleId="32">
    <w:name w:val="无间隔1"/>
    <w:basedOn w:val="1"/>
    <w:link w:val="33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3">
    <w:name w:val="无间隔 Char"/>
    <w:basedOn w:val="17"/>
    <w:link w:val="32"/>
    <w:qFormat/>
    <w:uiPriority w:val="1"/>
  </w:style>
  <w:style w:type="paragraph" w:customStyle="1" w:styleId="34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5">
    <w:name w:val="引用1"/>
    <w:basedOn w:val="1"/>
    <w:next w:val="1"/>
    <w:link w:val="36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6">
    <w:name w:val="引用 Char"/>
    <w:basedOn w:val="17"/>
    <w:link w:val="35"/>
    <w:qFormat/>
    <w:uiPriority w:val="29"/>
    <w:rPr>
      <w:i/>
      <w:iCs/>
    </w:rPr>
  </w:style>
  <w:style w:type="paragraph" w:customStyle="1" w:styleId="37">
    <w:name w:val="明显引用1"/>
    <w:basedOn w:val="1"/>
    <w:next w:val="1"/>
    <w:link w:val="38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8">
    <w:name w:val="明显引用 Char"/>
    <w:basedOn w:val="17"/>
    <w:link w:val="37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9">
    <w:name w:val="不明显强调1"/>
    <w:qFormat/>
    <w:uiPriority w:val="19"/>
    <w:rPr>
      <w:i/>
      <w:iCs/>
    </w:rPr>
  </w:style>
  <w:style w:type="character" w:customStyle="1" w:styleId="40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1">
    <w:name w:val="不明显参考1"/>
    <w:basedOn w:val="17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2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3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4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5">
    <w:name w:val="页眉 Char"/>
    <w:basedOn w:val="17"/>
    <w:link w:val="13"/>
    <w:qFormat/>
    <w:uiPriority w:val="99"/>
    <w:rPr>
      <w:sz w:val="18"/>
      <w:szCs w:val="18"/>
    </w:rPr>
  </w:style>
  <w:style w:type="character" w:customStyle="1" w:styleId="46">
    <w:name w:val="页脚 Char"/>
    <w:basedOn w:val="17"/>
    <w:link w:val="12"/>
    <w:qFormat/>
    <w:uiPriority w:val="99"/>
    <w:rPr>
      <w:sz w:val="18"/>
      <w:szCs w:val="18"/>
    </w:rPr>
  </w:style>
  <w:style w:type="table" w:customStyle="1" w:styleId="47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8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  <w:style w:type="character" w:customStyle="1" w:styleId="49">
    <w:name w:val="font01"/>
    <w:basedOn w:val="17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50">
    <w:name w:val="font41"/>
    <w:basedOn w:val="1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1">
    <w:name w:val="apple-converted-space"/>
    <w:qFormat/>
    <w:uiPriority w:val="0"/>
  </w:style>
  <w:style w:type="character" w:customStyle="1" w:styleId="52">
    <w:name w:val="font11"/>
    <w:basedOn w:val="1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ScaleCrop>false</ScaleCrop>
  <LinksUpToDate>false</LinksUpToDate>
  <CharactersWithSpaces>813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2018-04-27T07:49:16Z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